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1A" w:rsidRDefault="005D6C1A" w:rsidP="00B77DA2">
      <w:pPr>
        <w:spacing w:after="0" w:line="240" w:lineRule="auto"/>
        <w:jc w:val="both"/>
        <w:rPr>
          <w:b/>
        </w:rPr>
      </w:pPr>
    </w:p>
    <w:p w:rsidR="005D6C1A" w:rsidRPr="00786512" w:rsidRDefault="005D6C1A" w:rsidP="00B77DA2">
      <w:pPr>
        <w:spacing w:after="0" w:line="240" w:lineRule="auto"/>
        <w:jc w:val="center"/>
        <w:rPr>
          <w:b/>
          <w:u w:val="double"/>
        </w:rPr>
      </w:pPr>
      <w:r w:rsidRPr="00786512">
        <w:rPr>
          <w:b/>
          <w:u w:val="double"/>
        </w:rPr>
        <w:t>ΤΡΟΠΟΛΟΓΙΑ</w:t>
      </w:r>
    </w:p>
    <w:p w:rsidR="00B77DA2" w:rsidRPr="00B77DA2" w:rsidRDefault="005D6C1A" w:rsidP="00B77DA2">
      <w:pPr>
        <w:spacing w:after="0" w:line="240" w:lineRule="auto"/>
        <w:jc w:val="center"/>
        <w:rPr>
          <w:b/>
          <w:u w:val="single"/>
        </w:rPr>
      </w:pPr>
      <w:r w:rsidRPr="00786512">
        <w:rPr>
          <w:b/>
          <w:u w:val="single"/>
        </w:rPr>
        <w:t>ΤΟΥ ΥΠΟΥΡΓΕΙΟΥ ΠΑΙΔΕΙΑΣ, ΕΡΕΥΝΑΣ ΚΑΙ ΘΡΗΣΚΕΥΜΑΤΩΝ</w:t>
      </w:r>
    </w:p>
    <w:p w:rsidR="005D6C1A" w:rsidRPr="00786512" w:rsidRDefault="005D6C1A" w:rsidP="00B77DA2">
      <w:pPr>
        <w:pStyle w:val="a4"/>
        <w:jc w:val="center"/>
        <w:rPr>
          <w:rFonts w:asciiTheme="minorHAnsi" w:hAnsiTheme="minorHAnsi"/>
          <w:b/>
          <w:sz w:val="22"/>
          <w:szCs w:val="22"/>
        </w:rPr>
      </w:pPr>
    </w:p>
    <w:p w:rsidR="005D6C1A" w:rsidRPr="00786512" w:rsidRDefault="005D6C1A" w:rsidP="00B77DA2">
      <w:pPr>
        <w:pStyle w:val="a4"/>
        <w:jc w:val="center"/>
        <w:rPr>
          <w:rFonts w:asciiTheme="minorHAnsi" w:hAnsiTheme="minorHAnsi"/>
          <w:b/>
          <w:sz w:val="22"/>
          <w:szCs w:val="22"/>
        </w:rPr>
      </w:pPr>
      <w:r w:rsidRPr="00786512">
        <w:rPr>
          <w:rFonts w:asciiTheme="minorHAnsi" w:hAnsiTheme="minorHAnsi"/>
          <w:b/>
          <w:sz w:val="22"/>
          <w:szCs w:val="22"/>
        </w:rPr>
        <w:t>Στο Σχέδιο Νόμου</w:t>
      </w:r>
    </w:p>
    <w:p w:rsidR="005D6C1A" w:rsidRPr="00786512" w:rsidRDefault="005D6C1A" w:rsidP="00B77DA2">
      <w:pPr>
        <w:spacing w:after="0" w:line="240" w:lineRule="auto"/>
        <w:jc w:val="center"/>
      </w:pPr>
      <w:r w:rsidRPr="00786512">
        <w:rPr>
          <w:b/>
        </w:rPr>
        <w:t>«Ρυθμίσεις για την ελληνόγλωσση εκπαίδευση, τη διαπολιτισμική εκπαίδευση και άλλες διατάξεις»</w:t>
      </w:r>
    </w:p>
    <w:p w:rsidR="00B77DA2" w:rsidRPr="00786512" w:rsidRDefault="00B77DA2" w:rsidP="00B77DA2">
      <w:pPr>
        <w:spacing w:after="0" w:line="240" w:lineRule="auto"/>
        <w:rPr>
          <w:b/>
          <w:u w:val="double"/>
        </w:rPr>
      </w:pPr>
    </w:p>
    <w:p w:rsidR="005D6C1A" w:rsidRPr="00786512" w:rsidRDefault="005D6C1A" w:rsidP="00B77DA2">
      <w:pPr>
        <w:spacing w:after="0" w:line="240" w:lineRule="auto"/>
        <w:jc w:val="center"/>
        <w:rPr>
          <w:b/>
          <w:u w:val="double"/>
        </w:rPr>
      </w:pPr>
    </w:p>
    <w:p w:rsidR="00B77DA2" w:rsidRDefault="005D6C1A" w:rsidP="00B77DA2">
      <w:pPr>
        <w:spacing w:after="0" w:line="240" w:lineRule="auto"/>
        <w:jc w:val="center"/>
        <w:rPr>
          <w:b/>
          <w:u w:val="double"/>
        </w:rPr>
      </w:pPr>
      <w:r w:rsidRPr="00786512">
        <w:rPr>
          <w:b/>
          <w:u w:val="double"/>
        </w:rPr>
        <w:t>ΑΙΤΙΟΛΟΓΙΚΗ ΕΚΘΕΣΗ</w:t>
      </w:r>
    </w:p>
    <w:p w:rsidR="00B77DA2" w:rsidRDefault="00B77DA2" w:rsidP="00B77DA2">
      <w:pPr>
        <w:spacing w:after="0" w:line="240" w:lineRule="auto"/>
        <w:jc w:val="center"/>
        <w:rPr>
          <w:b/>
          <w:u w:val="double"/>
        </w:rPr>
      </w:pPr>
    </w:p>
    <w:p w:rsidR="00B77DA2" w:rsidRPr="00B77DA2" w:rsidRDefault="00B77DA2" w:rsidP="00B77DA2">
      <w:pPr>
        <w:spacing w:after="0" w:line="240" w:lineRule="auto"/>
        <w:jc w:val="center"/>
        <w:rPr>
          <w:b/>
          <w:u w:val="double"/>
        </w:rPr>
      </w:pPr>
    </w:p>
    <w:p w:rsidR="005D6C1A" w:rsidRPr="00786512" w:rsidRDefault="005D6C1A" w:rsidP="00B77DA2">
      <w:pPr>
        <w:spacing w:after="0" w:line="240" w:lineRule="auto"/>
        <w:jc w:val="center"/>
        <w:rPr>
          <w:b/>
        </w:rPr>
      </w:pPr>
      <w:r w:rsidRPr="00786512">
        <w:rPr>
          <w:b/>
        </w:rPr>
        <w:t>Άρθρο …</w:t>
      </w:r>
    </w:p>
    <w:p w:rsidR="005D6C1A" w:rsidRDefault="00246E05" w:rsidP="00B77DA2">
      <w:pPr>
        <w:spacing w:after="0" w:line="240" w:lineRule="auto"/>
        <w:jc w:val="center"/>
        <w:rPr>
          <w:b/>
        </w:rPr>
      </w:pPr>
      <w:r w:rsidRPr="00786512">
        <w:rPr>
          <w:b/>
        </w:rPr>
        <w:t>Ρυθμίσεις θεμάτων σχολικών καθαριστριών</w:t>
      </w:r>
    </w:p>
    <w:p w:rsidR="002F3D5D" w:rsidRPr="00786512" w:rsidRDefault="002F3D5D" w:rsidP="00B77DA2">
      <w:pPr>
        <w:spacing w:after="0" w:line="240" w:lineRule="auto"/>
        <w:jc w:val="center"/>
        <w:rPr>
          <w:b/>
        </w:rPr>
      </w:pPr>
    </w:p>
    <w:p w:rsidR="00B77DA2" w:rsidRDefault="001547A6" w:rsidP="00B77DA2">
      <w:pPr>
        <w:spacing w:after="0" w:line="240" w:lineRule="auto"/>
        <w:jc w:val="both"/>
        <w:rPr>
          <w:lang w:val="en-US"/>
        </w:rPr>
      </w:pPr>
      <w:r w:rsidRPr="00786512">
        <w:t xml:space="preserve">Η προτεινόμενη ρύθμιση </w:t>
      </w:r>
      <w:r w:rsidR="008B12D4" w:rsidRPr="00786512">
        <w:t>κρίνεται αναγκαία</w:t>
      </w:r>
      <w:r w:rsidRPr="00786512">
        <w:t xml:space="preserve"> για την κάλυψη </w:t>
      </w:r>
      <w:r w:rsidR="00246E05" w:rsidRPr="00786512">
        <w:t xml:space="preserve">των άμεσων αναγκών </w:t>
      </w:r>
      <w:r w:rsidR="008B12D4" w:rsidRPr="00786512">
        <w:t xml:space="preserve">για τον καθαρισμό </w:t>
      </w:r>
      <w:r w:rsidR="00246E05" w:rsidRPr="00786512">
        <w:t>των σχολείων.</w:t>
      </w:r>
    </w:p>
    <w:p w:rsidR="00114D7A" w:rsidRPr="00114D7A" w:rsidRDefault="00114D7A" w:rsidP="00B77DA2">
      <w:pPr>
        <w:spacing w:after="0" w:line="240" w:lineRule="auto"/>
        <w:jc w:val="both"/>
        <w:rPr>
          <w:lang w:val="en-US"/>
        </w:rPr>
      </w:pPr>
    </w:p>
    <w:p w:rsidR="004C6FAE" w:rsidRDefault="004C6FAE" w:rsidP="00B77DA2">
      <w:pPr>
        <w:spacing w:after="0" w:line="240" w:lineRule="auto"/>
        <w:jc w:val="center"/>
        <w:rPr>
          <w:b/>
          <w:color w:val="000000"/>
        </w:rPr>
      </w:pPr>
      <w:r>
        <w:rPr>
          <w:b/>
          <w:color w:val="000000"/>
        </w:rPr>
        <w:t>Άρθρο…</w:t>
      </w:r>
    </w:p>
    <w:p w:rsidR="00B77DA2" w:rsidRDefault="004C6FAE" w:rsidP="00B77DA2">
      <w:pPr>
        <w:spacing w:after="0" w:line="240" w:lineRule="auto"/>
        <w:jc w:val="center"/>
        <w:rPr>
          <w:b/>
          <w:color w:val="000000"/>
        </w:rPr>
      </w:pPr>
      <w:r>
        <w:rPr>
          <w:b/>
          <w:color w:val="000000"/>
        </w:rPr>
        <w:t>Ρυθμίσεις θεμάτων εκπαιδευτικού προσωπικού</w:t>
      </w:r>
    </w:p>
    <w:p w:rsidR="00B77DA2" w:rsidRPr="004C6FAE" w:rsidRDefault="00B77DA2" w:rsidP="00B77DA2">
      <w:pPr>
        <w:spacing w:after="0" w:line="240" w:lineRule="auto"/>
        <w:jc w:val="center"/>
        <w:rPr>
          <w:b/>
          <w:color w:val="000000"/>
        </w:rPr>
      </w:pPr>
    </w:p>
    <w:p w:rsidR="009C1353" w:rsidRDefault="004C6FAE" w:rsidP="00B77DA2">
      <w:pPr>
        <w:spacing w:after="0" w:line="240" w:lineRule="auto"/>
        <w:jc w:val="both"/>
      </w:pPr>
      <w:r>
        <w:t>Με το προτεινόμενο άρθρο ρυθμίζονται θέματα συμπλήρωσης του διδακτικού ωραρίου των εκπαιδευτικών σύμφωνα με σχετικές εισηγήσεις στελεχών εκπαίδευσης.</w:t>
      </w:r>
    </w:p>
    <w:p w:rsidR="004C6FAE" w:rsidRDefault="004C6FAE" w:rsidP="00B77DA2">
      <w:pPr>
        <w:spacing w:after="0" w:line="240" w:lineRule="auto"/>
        <w:jc w:val="both"/>
        <w:rPr>
          <w:lang w:val="en-US"/>
        </w:rPr>
      </w:pPr>
    </w:p>
    <w:p w:rsidR="00114D7A" w:rsidRPr="00114D7A" w:rsidRDefault="00114D7A" w:rsidP="00B77DA2">
      <w:pPr>
        <w:spacing w:after="0" w:line="240" w:lineRule="auto"/>
        <w:jc w:val="both"/>
        <w:rPr>
          <w:lang w:val="en-US"/>
        </w:rPr>
      </w:pPr>
    </w:p>
    <w:p w:rsidR="009C1353" w:rsidRPr="00786512" w:rsidRDefault="009C1353" w:rsidP="00B77DA2">
      <w:pPr>
        <w:spacing w:after="0" w:line="240" w:lineRule="auto"/>
        <w:jc w:val="center"/>
        <w:rPr>
          <w:b/>
        </w:rPr>
      </w:pPr>
      <w:r w:rsidRPr="00786512">
        <w:rPr>
          <w:b/>
        </w:rPr>
        <w:t>Άρθρο …</w:t>
      </w:r>
    </w:p>
    <w:p w:rsidR="009C1353" w:rsidRDefault="009C1353" w:rsidP="00B77DA2">
      <w:pPr>
        <w:spacing w:after="0" w:line="240" w:lineRule="auto"/>
        <w:jc w:val="center"/>
        <w:rPr>
          <w:b/>
        </w:rPr>
      </w:pPr>
      <w:r w:rsidRPr="00786512">
        <w:rPr>
          <w:b/>
        </w:rPr>
        <w:t>Ρυθμίσεις για την έρευνα</w:t>
      </w:r>
    </w:p>
    <w:p w:rsidR="009C1353" w:rsidRPr="00714B8C" w:rsidRDefault="009C1353" w:rsidP="00B77DA2">
      <w:pPr>
        <w:spacing w:after="0" w:line="240" w:lineRule="auto"/>
        <w:rPr>
          <w:b/>
        </w:rPr>
      </w:pPr>
    </w:p>
    <w:p w:rsidR="009C1353" w:rsidRPr="00786512" w:rsidRDefault="009C1353" w:rsidP="00B77DA2">
      <w:pPr>
        <w:shd w:val="clear" w:color="auto" w:fill="FFFFFF" w:themeFill="background1"/>
        <w:spacing w:after="0" w:line="240" w:lineRule="auto"/>
        <w:jc w:val="both"/>
        <w:rPr>
          <w:rFonts w:cs="DejaVuSans"/>
          <w:lang w:eastAsia="el-GR"/>
        </w:rPr>
      </w:pPr>
      <w:r w:rsidRPr="00786512">
        <w:t>Στις 15 Ιουλίου 2016 υπεγράφη μεταξύ της Ευρωπαϊκής Τράπεζας Επενδύσεων και της Ελληνικής Δημοκρατίας δανειακή σύμβαση με σκοπό σύσταση του «Ελληνικού Ιδρύματος Έρευ</w:t>
      </w:r>
      <w:r w:rsidR="00714B8C">
        <w:t xml:space="preserve">νας και Καινοτομίας» </w:t>
      </w:r>
      <w:proofErr w:type="spellStart"/>
      <w:r w:rsidR="00714B8C">
        <w:t>Ελ.Ιδ.Ε.Κ</w:t>
      </w:r>
      <w:proofErr w:type="spellEnd"/>
      <w:r w:rsidR="00714B8C">
        <w:t>.»</w:t>
      </w:r>
      <w:r w:rsidRPr="00786512">
        <w:t xml:space="preserve">, ενός ειδικού νομικού προσώπου για τη χρηματοδότηση ερευνητικών προγραμμάτων. </w:t>
      </w:r>
      <w:r w:rsidRPr="00786512">
        <w:rPr>
          <w:rFonts w:cs="Courier New"/>
        </w:rPr>
        <w:t xml:space="preserve">Σε πρώτη φάση, το </w:t>
      </w:r>
      <w:proofErr w:type="spellStart"/>
      <w:r w:rsidRPr="00786512">
        <w:rPr>
          <w:rFonts w:cs="Courier New"/>
        </w:rPr>
        <w:t>Ελ.Ιδ.Ε.Κ</w:t>
      </w:r>
      <w:proofErr w:type="spellEnd"/>
      <w:r w:rsidRPr="00786512">
        <w:rPr>
          <w:rFonts w:cs="Courier New"/>
        </w:rPr>
        <w:t xml:space="preserve">. θα διαχειριστεί κονδύλια ύψους 240 εκ. ευρώ, τα οποία θα προέλθουν από χρηματοδότηση από την </w:t>
      </w:r>
      <w:r w:rsidRPr="00786512">
        <w:rPr>
          <w:rFonts w:cs="Arial"/>
        </w:rPr>
        <w:t>Ευρωπαϊκή Τράπεζα Επενδύσεων και από το Πρόγραμμα Δημοσίων Επενδύσεων. Ειδικά για την ίδρυση του εν λόγω νομικού προσώπου θα ακολουθήσει ειδικός προς τούτο νόμος. Η δομή</w:t>
      </w:r>
      <w:r w:rsidRPr="00786512">
        <w:t xml:space="preserve"> του </w:t>
      </w:r>
      <w:proofErr w:type="spellStart"/>
      <w:r w:rsidRPr="00786512">
        <w:t>Ελ.Ιδ.Ε.Κ</w:t>
      </w:r>
      <w:proofErr w:type="spellEnd"/>
      <w:r w:rsidRPr="00786512">
        <w:t>. θα είναι ανεξάρτητη από αυτές των Υπουργείων και θα ορίζεται από τους εν δυνάμει δικαιούχους τους, δηλαδή τους δημόσιους ακαδημαϊκούς και ερευνητικούς φορείς της χώρας</w:t>
      </w:r>
      <w:r w:rsidRPr="00786512">
        <w:rPr>
          <w:rFonts w:cs="DejaVuSans"/>
          <w:lang w:eastAsia="el-GR"/>
        </w:rPr>
        <w:t xml:space="preserve"> χωρίς παρε</w:t>
      </w:r>
      <w:r w:rsidRPr="00786512">
        <w:rPr>
          <w:rFonts w:cs="NimbusSanL-Regu"/>
          <w:lang w:eastAsia="el-GR"/>
        </w:rPr>
        <w:t>μ</w:t>
      </w:r>
      <w:r w:rsidRPr="00786512">
        <w:rPr>
          <w:rFonts w:cs="DejaVuSans"/>
          <w:lang w:eastAsia="el-GR"/>
        </w:rPr>
        <w:t>βάσεις ή άνωθεν επιβαλλό</w:t>
      </w:r>
      <w:r w:rsidRPr="00786512">
        <w:rPr>
          <w:rFonts w:cs="NimbusSanL-Regu"/>
          <w:lang w:eastAsia="el-GR"/>
        </w:rPr>
        <w:t>μ</w:t>
      </w:r>
      <w:r w:rsidRPr="00786512">
        <w:rPr>
          <w:rFonts w:cs="DejaVuSans"/>
          <w:lang w:eastAsia="el-GR"/>
        </w:rPr>
        <w:t>ενες επιλογές</w:t>
      </w:r>
      <w:r w:rsidRPr="00786512">
        <w:t xml:space="preserve">. Ειδικότερα, τα Πανεπιστήμια και τα ερευνητικά κέντρα θα εκλέγουν τα μέλη της Γενικής Συνέλευσης του </w:t>
      </w:r>
      <w:proofErr w:type="spellStart"/>
      <w:r w:rsidRPr="00786512">
        <w:t>Ελ.Ιδ.Ε.Κ</w:t>
      </w:r>
      <w:proofErr w:type="spellEnd"/>
      <w:r w:rsidRPr="00786512">
        <w:t xml:space="preserve">., από την οποία θα προκύπτει το Επιστημονικό Συμβούλιο και, εν συνεχεία, ο Διευθυντής του </w:t>
      </w:r>
      <w:proofErr w:type="spellStart"/>
      <w:r w:rsidRPr="00786512">
        <w:t>Ελ.Ιδ.Ε.Κ</w:t>
      </w:r>
      <w:proofErr w:type="spellEnd"/>
      <w:r w:rsidRPr="00786512">
        <w:t>. Η οικονομική λειτουργία του Ιδρύματος και η εκ μέρους του χρηματοδότηση των ερευνητικών προγραμμάτων θα πραγματοποιείται με βάση τις αρχές της εξαιρετικής ακαδημαϊκής επίδοσης, της διαφάνειας, της αξιοκρατίας και της χρηστής οικονομικής διαχείρισης.</w:t>
      </w:r>
      <w:r w:rsidRPr="00786512">
        <w:rPr>
          <w:rFonts w:cs="NimbusSanL-Regu"/>
          <w:lang w:eastAsia="el-GR"/>
        </w:rPr>
        <w:t xml:space="preserve"> </w:t>
      </w:r>
      <w:r w:rsidRPr="00786512">
        <w:rPr>
          <w:rFonts w:cs="DejaVuSans"/>
          <w:lang w:eastAsia="el-GR"/>
        </w:rPr>
        <w:t>Οι κανόνες χρη</w:t>
      </w:r>
      <w:r w:rsidRPr="00786512">
        <w:rPr>
          <w:rFonts w:cs="NimbusSanL-Regu"/>
          <w:lang w:eastAsia="el-GR"/>
        </w:rPr>
        <w:t>μ</w:t>
      </w:r>
      <w:r w:rsidRPr="00786512">
        <w:rPr>
          <w:rFonts w:cs="DejaVuSans"/>
          <w:lang w:eastAsia="el-GR"/>
        </w:rPr>
        <w:t xml:space="preserve">ατοδότησης από το </w:t>
      </w:r>
      <w:proofErr w:type="spellStart"/>
      <w:r w:rsidRPr="00786512">
        <w:rPr>
          <w:rFonts w:cs="DejaVuSans"/>
          <w:lang w:eastAsia="el-GR"/>
        </w:rPr>
        <w:t>Ελ.Ιδ.Ε.Κ</w:t>
      </w:r>
      <w:proofErr w:type="spellEnd"/>
      <w:r w:rsidRPr="00786512">
        <w:rPr>
          <w:rFonts w:cs="DejaVuSans"/>
          <w:lang w:eastAsia="el-GR"/>
        </w:rPr>
        <w:t>. θα είναι απλοί και προσαρ</w:t>
      </w:r>
      <w:r w:rsidRPr="00786512">
        <w:rPr>
          <w:rFonts w:cs="NimbusSanL-Regu"/>
          <w:lang w:eastAsia="el-GR"/>
        </w:rPr>
        <w:t>μ</w:t>
      </w:r>
      <w:r w:rsidRPr="00786512">
        <w:rPr>
          <w:rFonts w:cs="DejaVuSans"/>
          <w:lang w:eastAsia="el-GR"/>
        </w:rPr>
        <w:t>οσ</w:t>
      </w:r>
      <w:r w:rsidRPr="00786512">
        <w:rPr>
          <w:rFonts w:cs="NimbusSanL-Regu"/>
          <w:lang w:eastAsia="el-GR"/>
        </w:rPr>
        <w:t>μ</w:t>
      </w:r>
      <w:r w:rsidRPr="00786512">
        <w:rPr>
          <w:rFonts w:cs="DejaVuSans"/>
          <w:lang w:eastAsia="el-GR"/>
        </w:rPr>
        <w:t>ένοι στη δυνα</w:t>
      </w:r>
      <w:r w:rsidRPr="00786512">
        <w:rPr>
          <w:rFonts w:cs="NimbusSanL-Regu"/>
          <w:lang w:eastAsia="el-GR"/>
        </w:rPr>
        <w:t>μ</w:t>
      </w:r>
      <w:r w:rsidRPr="00786512">
        <w:rPr>
          <w:rFonts w:cs="DejaVuSans"/>
          <w:lang w:eastAsia="el-GR"/>
        </w:rPr>
        <w:t>ική που διέπει την Έρευνα</w:t>
      </w:r>
      <w:r w:rsidRPr="00786512">
        <w:rPr>
          <w:rFonts w:cs="NimbusSanL-Regu"/>
          <w:lang w:eastAsia="el-GR"/>
        </w:rPr>
        <w:t xml:space="preserve">, </w:t>
      </w:r>
      <w:r w:rsidRPr="00786512">
        <w:rPr>
          <w:rFonts w:cs="DejaVuSans"/>
          <w:lang w:eastAsia="el-GR"/>
        </w:rPr>
        <w:t>απαλλαγ</w:t>
      </w:r>
      <w:r w:rsidRPr="00786512">
        <w:rPr>
          <w:rFonts w:cs="NimbusSanL-Regu"/>
          <w:lang w:eastAsia="el-GR"/>
        </w:rPr>
        <w:t>μ</w:t>
      </w:r>
      <w:r w:rsidRPr="00786512">
        <w:rPr>
          <w:rFonts w:cs="DejaVuSans"/>
          <w:lang w:eastAsia="el-GR"/>
        </w:rPr>
        <w:t>ένοι από γραφειοκρατικές διαδικασίες</w:t>
      </w:r>
      <w:r w:rsidRPr="00786512">
        <w:rPr>
          <w:rFonts w:cs="NimbusSanL-Regu"/>
          <w:lang w:eastAsia="el-GR"/>
        </w:rPr>
        <w:t xml:space="preserve">, </w:t>
      </w:r>
      <w:r w:rsidRPr="00786512">
        <w:rPr>
          <w:rFonts w:cs="DejaVuSans"/>
          <w:lang w:eastAsia="el-GR"/>
        </w:rPr>
        <w:t xml:space="preserve">και </w:t>
      </w:r>
      <w:r w:rsidRPr="00786512">
        <w:rPr>
          <w:rFonts w:cs="NimbusSanL-Regu"/>
          <w:lang w:eastAsia="el-GR"/>
        </w:rPr>
        <w:t>μ</w:t>
      </w:r>
      <w:r w:rsidRPr="00786512">
        <w:rPr>
          <w:rFonts w:cs="DejaVuSans"/>
          <w:lang w:eastAsia="el-GR"/>
        </w:rPr>
        <w:t>ε γνώ</w:t>
      </w:r>
      <w:r w:rsidRPr="00786512">
        <w:rPr>
          <w:rFonts w:cs="NimbusSanL-Regu"/>
          <w:lang w:eastAsia="el-GR"/>
        </w:rPr>
        <w:t>μ</w:t>
      </w:r>
      <w:r w:rsidRPr="00786512">
        <w:rPr>
          <w:rFonts w:cs="DejaVuSans"/>
          <w:lang w:eastAsia="el-GR"/>
        </w:rPr>
        <w:t>ονα τη διασφάλιση του δη</w:t>
      </w:r>
      <w:r w:rsidRPr="00786512">
        <w:rPr>
          <w:rFonts w:cs="NimbusSanL-Regu"/>
          <w:lang w:eastAsia="el-GR"/>
        </w:rPr>
        <w:t>μ</w:t>
      </w:r>
      <w:r w:rsidRPr="00786512">
        <w:rPr>
          <w:rFonts w:cs="DejaVuSans"/>
          <w:lang w:eastAsia="el-GR"/>
        </w:rPr>
        <w:t>οσίου συ</w:t>
      </w:r>
      <w:r w:rsidRPr="00786512">
        <w:rPr>
          <w:rFonts w:cs="NimbusSanL-Regu"/>
          <w:lang w:eastAsia="el-GR"/>
        </w:rPr>
        <w:t>μ</w:t>
      </w:r>
      <w:r w:rsidRPr="00786512">
        <w:rPr>
          <w:rFonts w:cs="DejaVuSans"/>
          <w:lang w:eastAsia="el-GR"/>
        </w:rPr>
        <w:t>φέροντος</w:t>
      </w:r>
      <w:r w:rsidRPr="00786512">
        <w:rPr>
          <w:rFonts w:cs="NimbusSanL-Regu"/>
          <w:lang w:eastAsia="el-GR"/>
        </w:rPr>
        <w:t>.</w:t>
      </w:r>
      <w:r w:rsidRPr="00786512">
        <w:rPr>
          <w:rFonts w:cs="DejaVuSans"/>
          <w:lang w:eastAsia="el-GR"/>
        </w:rPr>
        <w:t xml:space="preserve"> </w:t>
      </w:r>
    </w:p>
    <w:p w:rsidR="00B77DA2" w:rsidRPr="00114D7A" w:rsidRDefault="009C1353" w:rsidP="00114D7A">
      <w:pPr>
        <w:shd w:val="clear" w:color="auto" w:fill="FFFFFF" w:themeFill="background1"/>
        <w:spacing w:after="0" w:line="240" w:lineRule="auto"/>
        <w:jc w:val="both"/>
        <w:rPr>
          <w:rFonts w:cs="DejaVuSans"/>
          <w:lang w:eastAsia="el-GR"/>
        </w:rPr>
      </w:pPr>
      <w:r w:rsidRPr="00786512">
        <w:rPr>
          <w:rFonts w:cs="DejaVuSans"/>
          <w:lang w:eastAsia="el-GR"/>
        </w:rPr>
        <w:t xml:space="preserve">Με την υπό κρίση διάταξη διασφαλίζεται, σύμφωνα με τους όρους της ως άνω δανειακής σύμβασης, η άμεση εκταμίευση 18 εκατομμυρίων ευρώ, τα οποία θα διατεθούν για την άμεση προκήρυξη υποτροφιών για διδακτορικές και μεταδιδακτορικές προτάσεις νέων επιστημόνων. Τις εν λόγω προσκλήσεις εκδήλωσης ενδιαφέροντος θα διαχειριστεί η </w:t>
      </w:r>
      <w:r w:rsidRPr="00786512">
        <w:t xml:space="preserve">Γενική Γραμματεία </w:t>
      </w:r>
      <w:r w:rsidR="00B77DA2">
        <w:t>Έρευνας και Τεχνολογίας (ΓΓΕΤ).</w:t>
      </w:r>
    </w:p>
    <w:p w:rsidR="00B77DA2" w:rsidRPr="00786512" w:rsidRDefault="00B77DA2" w:rsidP="00B77DA2">
      <w:pPr>
        <w:spacing w:after="0" w:line="240" w:lineRule="auto"/>
        <w:jc w:val="center"/>
        <w:rPr>
          <w:b/>
        </w:rPr>
      </w:pPr>
    </w:p>
    <w:p w:rsidR="00B77DA2" w:rsidRDefault="005D6C1A" w:rsidP="00B77DA2">
      <w:pPr>
        <w:spacing w:after="0" w:line="240" w:lineRule="auto"/>
        <w:jc w:val="center"/>
        <w:rPr>
          <w:b/>
          <w:u w:val="double"/>
        </w:rPr>
      </w:pPr>
      <w:r w:rsidRPr="00786512">
        <w:rPr>
          <w:b/>
          <w:u w:val="double"/>
        </w:rPr>
        <w:t>ΚΕΙΜΕΝΟ ΔΙΑΤΑΞΕΩΝ</w:t>
      </w:r>
    </w:p>
    <w:p w:rsidR="00B77DA2" w:rsidRDefault="00B77DA2" w:rsidP="00B77DA2">
      <w:pPr>
        <w:spacing w:after="0" w:line="240" w:lineRule="auto"/>
        <w:jc w:val="center"/>
        <w:rPr>
          <w:b/>
          <w:u w:val="double"/>
        </w:rPr>
      </w:pPr>
    </w:p>
    <w:p w:rsidR="00B77DA2" w:rsidRPr="00B77DA2" w:rsidRDefault="00B77DA2" w:rsidP="00B77DA2">
      <w:pPr>
        <w:spacing w:after="0" w:line="240" w:lineRule="auto"/>
        <w:jc w:val="center"/>
        <w:rPr>
          <w:b/>
          <w:u w:val="double"/>
        </w:rPr>
      </w:pPr>
    </w:p>
    <w:p w:rsidR="00B77DA2" w:rsidRDefault="00B77DA2" w:rsidP="00B77DA2">
      <w:pPr>
        <w:spacing w:after="0" w:line="240" w:lineRule="auto"/>
        <w:rPr>
          <w:b/>
        </w:rPr>
      </w:pPr>
    </w:p>
    <w:p w:rsidR="005D6C1A" w:rsidRPr="00786512" w:rsidRDefault="005D6C1A" w:rsidP="00B77DA2">
      <w:pPr>
        <w:spacing w:after="0" w:line="240" w:lineRule="auto"/>
        <w:jc w:val="center"/>
        <w:rPr>
          <w:b/>
        </w:rPr>
      </w:pPr>
      <w:r w:rsidRPr="00786512">
        <w:rPr>
          <w:b/>
        </w:rPr>
        <w:t>Άρθρο …</w:t>
      </w:r>
    </w:p>
    <w:p w:rsidR="009C1353" w:rsidRDefault="005D6C1A" w:rsidP="00B77DA2">
      <w:pPr>
        <w:spacing w:after="0" w:line="240" w:lineRule="auto"/>
        <w:jc w:val="center"/>
        <w:rPr>
          <w:b/>
        </w:rPr>
      </w:pPr>
      <w:r w:rsidRPr="00786512">
        <w:rPr>
          <w:b/>
        </w:rPr>
        <w:t>Ρυθμίσεις θεμάτων σχολικών καθαριστριών</w:t>
      </w:r>
    </w:p>
    <w:p w:rsidR="00B77DA2" w:rsidRPr="00786512" w:rsidRDefault="00B77DA2" w:rsidP="00B77DA2">
      <w:pPr>
        <w:spacing w:after="0" w:line="240" w:lineRule="auto"/>
        <w:jc w:val="center"/>
        <w:rPr>
          <w:b/>
        </w:rPr>
      </w:pPr>
    </w:p>
    <w:p w:rsidR="005D6C1A" w:rsidRPr="00786512" w:rsidRDefault="005D6C1A" w:rsidP="00B77DA2">
      <w:pPr>
        <w:spacing w:after="0" w:line="240" w:lineRule="auto"/>
        <w:jc w:val="both"/>
      </w:pPr>
      <w:r w:rsidRPr="00786512">
        <w:t xml:space="preserve"> Η παρ.</w:t>
      </w:r>
      <w:r w:rsidR="00246E05" w:rsidRPr="00786512">
        <w:t xml:space="preserve"> 3</w:t>
      </w:r>
      <w:r w:rsidRPr="00786512">
        <w:t xml:space="preserve"> του άρθρου 36 του ν. 4305/2014 (Α΄ 237), όπως</w:t>
      </w:r>
      <w:r w:rsidR="00FF0CC5" w:rsidRPr="00786512">
        <w:t xml:space="preserve"> ισχύει</w:t>
      </w:r>
      <w:r w:rsidRPr="00786512">
        <w:t>, αντικαθίσταται ως εξής:</w:t>
      </w:r>
    </w:p>
    <w:p w:rsidR="005D6C1A" w:rsidRPr="00714B8C" w:rsidRDefault="005D6C1A" w:rsidP="00B77DA2">
      <w:pPr>
        <w:spacing w:after="0" w:line="240" w:lineRule="auto"/>
        <w:jc w:val="both"/>
        <w:rPr>
          <w:color w:val="000000"/>
        </w:rPr>
      </w:pPr>
      <w:r w:rsidRPr="00786512">
        <w:rPr>
          <w:color w:val="000000"/>
        </w:rPr>
        <w:t xml:space="preserve">«3. Οι διατάξεις της παραγράφου 1 ισχύουν και </w:t>
      </w:r>
      <w:r w:rsidR="00512F51">
        <w:rPr>
          <w:color w:val="000000"/>
        </w:rPr>
        <w:t>για τα σχολικά έτη 2015-2016 και</w:t>
      </w:r>
      <w:r w:rsidRPr="00786512">
        <w:rPr>
          <w:color w:val="000000"/>
        </w:rPr>
        <w:t xml:space="preserve"> 2016-2017»</w:t>
      </w:r>
    </w:p>
    <w:p w:rsidR="009C1353" w:rsidRPr="00C937E2" w:rsidRDefault="009C1353" w:rsidP="00B77DA2">
      <w:pPr>
        <w:spacing w:after="0" w:line="240" w:lineRule="auto"/>
        <w:jc w:val="both"/>
        <w:rPr>
          <w:color w:val="000000"/>
        </w:rPr>
      </w:pPr>
    </w:p>
    <w:p w:rsidR="00C937E2" w:rsidRDefault="00C937E2" w:rsidP="00B77DA2">
      <w:pPr>
        <w:spacing w:after="0" w:line="240" w:lineRule="auto"/>
        <w:jc w:val="center"/>
        <w:rPr>
          <w:b/>
          <w:color w:val="000000"/>
        </w:rPr>
      </w:pPr>
      <w:r>
        <w:rPr>
          <w:b/>
          <w:color w:val="000000"/>
        </w:rPr>
        <w:t>Άρθρο…</w:t>
      </w:r>
    </w:p>
    <w:p w:rsidR="00B77DA2" w:rsidRDefault="00C937E2" w:rsidP="00B77DA2">
      <w:pPr>
        <w:spacing w:after="0" w:line="240" w:lineRule="auto"/>
        <w:jc w:val="center"/>
        <w:rPr>
          <w:b/>
          <w:color w:val="000000"/>
        </w:rPr>
      </w:pPr>
      <w:r>
        <w:rPr>
          <w:b/>
          <w:color w:val="000000"/>
        </w:rPr>
        <w:t>Ρυθμίσεις θεμάτων εκπαιδευτικού προσωπικού</w:t>
      </w:r>
    </w:p>
    <w:p w:rsidR="00B77DA2" w:rsidRDefault="00B77DA2" w:rsidP="00B77DA2">
      <w:pPr>
        <w:spacing w:after="0" w:line="240" w:lineRule="auto"/>
        <w:jc w:val="center"/>
        <w:rPr>
          <w:b/>
          <w:color w:val="000000"/>
        </w:rPr>
      </w:pPr>
    </w:p>
    <w:p w:rsidR="00B77DA2" w:rsidRPr="00B77DA2" w:rsidRDefault="006C5435" w:rsidP="00B77DA2">
      <w:pPr>
        <w:spacing w:after="0" w:line="240" w:lineRule="auto"/>
        <w:jc w:val="both"/>
        <w:rPr>
          <w:color w:val="000000"/>
        </w:rPr>
      </w:pPr>
      <w:r>
        <w:rPr>
          <w:color w:val="000000"/>
        </w:rPr>
        <w:t xml:space="preserve">Στο στοιχείο </w:t>
      </w:r>
      <w:proofErr w:type="spellStart"/>
      <w:r>
        <w:rPr>
          <w:color w:val="000000"/>
        </w:rPr>
        <w:t>γγ</w:t>
      </w:r>
      <w:proofErr w:type="spellEnd"/>
      <w:r>
        <w:rPr>
          <w:color w:val="000000"/>
        </w:rPr>
        <w:t xml:space="preserve">’ της </w:t>
      </w:r>
      <w:proofErr w:type="spellStart"/>
      <w:r>
        <w:rPr>
          <w:color w:val="000000"/>
        </w:rPr>
        <w:t>υποπεριπτ</w:t>
      </w:r>
      <w:proofErr w:type="spellEnd"/>
      <w:r>
        <w:rPr>
          <w:color w:val="000000"/>
        </w:rPr>
        <w:t xml:space="preserve">. α’ της </w:t>
      </w:r>
      <w:proofErr w:type="spellStart"/>
      <w:r>
        <w:rPr>
          <w:color w:val="000000"/>
        </w:rPr>
        <w:t>περιπτ</w:t>
      </w:r>
      <w:proofErr w:type="spellEnd"/>
      <w:r>
        <w:rPr>
          <w:color w:val="000000"/>
        </w:rPr>
        <w:t xml:space="preserve">. 6 της Παρ. 1 του άρθρου 25 του ν. 4203/2013 (Α΄ 235), όπως έχει αντικατασταθεί με την </w:t>
      </w:r>
      <w:proofErr w:type="spellStart"/>
      <w:r>
        <w:rPr>
          <w:color w:val="000000"/>
        </w:rPr>
        <w:t>περιπτ</w:t>
      </w:r>
      <w:proofErr w:type="spellEnd"/>
      <w:r>
        <w:rPr>
          <w:color w:val="000000"/>
        </w:rPr>
        <w:t>. α’ της παρ. 5 του άρθρου 33 του ν. 4386/2016 (Α΄ 83) μετά τη φράση «</w:t>
      </w:r>
      <w:proofErr w:type="spellStart"/>
      <w:r>
        <w:rPr>
          <w:color w:val="000000"/>
        </w:rPr>
        <w:t>γγ</w:t>
      </w:r>
      <w:proofErr w:type="spellEnd"/>
      <w:r>
        <w:rPr>
          <w:color w:val="000000"/>
        </w:rPr>
        <w:t>) σε υπηρεσίες διοίκησης της εκπαίδευσης στη Διεύθυνση Εκπαίδευσης» προστίθεται η φράση «και στην Περιφερειακή Διεύθυνση Εκπαίδευσης».</w:t>
      </w:r>
    </w:p>
    <w:p w:rsidR="00B77DA2" w:rsidRPr="00C937E2" w:rsidRDefault="00B77DA2" w:rsidP="00B77DA2">
      <w:pPr>
        <w:spacing w:after="0" w:line="240" w:lineRule="auto"/>
        <w:jc w:val="center"/>
        <w:rPr>
          <w:b/>
          <w:color w:val="000000"/>
        </w:rPr>
      </w:pPr>
    </w:p>
    <w:p w:rsidR="009C1353" w:rsidRPr="00786512" w:rsidRDefault="009C1353" w:rsidP="00B77DA2">
      <w:pPr>
        <w:spacing w:after="0" w:line="240" w:lineRule="auto"/>
        <w:jc w:val="center"/>
        <w:rPr>
          <w:b/>
        </w:rPr>
      </w:pPr>
      <w:r w:rsidRPr="00786512">
        <w:rPr>
          <w:b/>
        </w:rPr>
        <w:t>Άρθρο …</w:t>
      </w:r>
    </w:p>
    <w:p w:rsidR="009C1353" w:rsidRDefault="009C1353" w:rsidP="00B77DA2">
      <w:pPr>
        <w:spacing w:after="0" w:line="240" w:lineRule="auto"/>
        <w:jc w:val="center"/>
        <w:rPr>
          <w:b/>
        </w:rPr>
      </w:pPr>
      <w:r w:rsidRPr="00786512">
        <w:rPr>
          <w:b/>
        </w:rPr>
        <w:t>Ρυθμίσεις για την έρευνα</w:t>
      </w:r>
    </w:p>
    <w:p w:rsidR="00B77DA2" w:rsidRPr="00786512" w:rsidRDefault="00B77DA2" w:rsidP="00B77DA2">
      <w:pPr>
        <w:spacing w:after="0" w:line="240" w:lineRule="auto"/>
        <w:jc w:val="center"/>
        <w:rPr>
          <w:b/>
        </w:rPr>
      </w:pPr>
    </w:p>
    <w:p w:rsidR="009C1353" w:rsidRPr="00786512" w:rsidRDefault="009C1353" w:rsidP="00B77DA2">
      <w:pPr>
        <w:shd w:val="clear" w:color="auto" w:fill="FFFFFF" w:themeFill="background1"/>
        <w:spacing w:after="0" w:line="240" w:lineRule="auto"/>
        <w:jc w:val="both"/>
      </w:pPr>
      <w:r w:rsidRPr="00786512">
        <w:rPr>
          <w:b/>
        </w:rPr>
        <w:t xml:space="preserve">1. </w:t>
      </w:r>
      <w:r w:rsidRPr="00786512">
        <w:t>Η εκταμίευση της πρώτης δόσης των 18 εκατομμυρίων ευρώ σε εφαρμογή της</w:t>
      </w:r>
      <w:r w:rsidRPr="00786512">
        <w:rPr>
          <w:rFonts w:cs="Arial"/>
        </w:rPr>
        <w:t xml:space="preserve"> από 15.7.2016 Σύμβασης της Ελληνικής Δημοκρατίας με την Ευρωπαϊκή Τράπεζα Επενδύσεων θα πραγματοποιηθεί στον Ειδικό Λογαριασμό Κονδυλίων Έρευνας της Γενικής Γραμματείας Έρευνας και Τεχνολογίας (ΕΛΚΕ ΓΓΕΤ). Ειδικότερα, η </w:t>
      </w:r>
      <w:r w:rsidRPr="00786512">
        <w:t xml:space="preserve">εν λόγω χρηματοδότηση της Ευρωπαϊκής Τράπεζας Επενδύσεων συνιστά δανειακό έσοδο του κρατικού προϋπολογισμού και το ισόποσο της χρηματοδότησης αυτής εγγράφεται στον ΕΛΚΕ της ΓΓΕΤ, σε ειδικό προς τούτο κωδικό προϋπολογισμού του Υπουργείου Παιδείας, Έρευνας και Θρησκευμάτων. </w:t>
      </w:r>
    </w:p>
    <w:p w:rsidR="009C1353" w:rsidRPr="00786512" w:rsidRDefault="009C1353" w:rsidP="00B77DA2">
      <w:pPr>
        <w:shd w:val="clear" w:color="auto" w:fill="FFFFFF" w:themeFill="background1"/>
        <w:spacing w:after="0" w:line="240" w:lineRule="auto"/>
        <w:jc w:val="both"/>
      </w:pPr>
      <w:r w:rsidRPr="00786512">
        <w:rPr>
          <w:b/>
        </w:rPr>
        <w:t>2.</w:t>
      </w:r>
      <w:r w:rsidRPr="00786512">
        <w:t xml:space="preserve"> Με απόφαση του Υπουργού Παιδείας Έρευνας και Θρησκευμάτων, η οποία δημοσιεύεται στην Εφημερίδα της Κυβερνήσεως, πραγματοποιείται η κατανομή της ως άνω χρηματοδότησης σε επιμέρους κονδύλια που αφορούν προσκλήσεις για τη χορήγηση υποτροφιών για τη διεξαγωγή διδακτορικών διατριβών ή/και </w:t>
      </w:r>
      <w:proofErr w:type="spellStart"/>
      <w:r w:rsidRPr="00786512">
        <w:t>μετα</w:t>
      </w:r>
      <w:proofErr w:type="spellEnd"/>
      <w:r w:rsidRPr="00786512">
        <w:t>-διδακτορικών μελετών και σε κονδύλια που θα διατεθούν για τη έναρξη της λειτουργίας του Ελληνικού Ιδρύματος Έρευνας και Καινοτομίας (</w:t>
      </w:r>
      <w:proofErr w:type="spellStart"/>
      <w:r w:rsidRPr="00786512">
        <w:t>Ελ.Ιδ.Ε.Κ</w:t>
      </w:r>
      <w:proofErr w:type="spellEnd"/>
      <w:r w:rsidRPr="00786512">
        <w:t>.) και ρυθμίζεται κάθε άλλη αναγκαία λεπτομέρεια για τη διαχείριση των εν λόγω κονδυλίων.</w:t>
      </w:r>
    </w:p>
    <w:p w:rsidR="009C1353" w:rsidRPr="00786512" w:rsidRDefault="009C1353" w:rsidP="00B77DA2">
      <w:pPr>
        <w:shd w:val="clear" w:color="auto" w:fill="FFFFFF" w:themeFill="background1"/>
        <w:spacing w:after="0" w:line="240" w:lineRule="auto"/>
        <w:jc w:val="both"/>
      </w:pPr>
      <w:r w:rsidRPr="00786512">
        <w:rPr>
          <w:b/>
        </w:rPr>
        <w:t xml:space="preserve">3. </w:t>
      </w:r>
      <w:r w:rsidRPr="00786512">
        <w:t xml:space="preserve">Ο Γενικός Γραμματέας Έρευνας και Τεχνολογίας εκδίδει και δημοσιεύει τις ανωτέρω προσκλήσεις εκδήλωσης ενδιαφέροντος που αφορούν τη χορήγηση υποτροφιών για τη διεξαγωγή διδακτορικών διατριβών ή/και </w:t>
      </w:r>
      <w:proofErr w:type="spellStart"/>
      <w:r w:rsidRPr="00786512">
        <w:t>μετα</w:t>
      </w:r>
      <w:proofErr w:type="spellEnd"/>
      <w:r w:rsidRPr="00786512">
        <w:t>-διδακτορικών μελετών. Η αξιολόγηση, διαχείριση, υλοποίηση των προσκλήσεων αυτών πραγματοποιείται σύμφωνα με την από 15.7.2016 δανειακή σύμβαση, το ν. 4310/2014, και ειδικό Οδηγό Εφαρμογής, ο οποίος εκδίδεται και δημοσιεύεται με απόφαση του Γενικού Γραμματέα Έρευνας και Τεχνολογίας. Ο εν λόγω Οδηγός Εφαρμογής περιέχει τους θεματικούς τομείς έρευνας, τους δυνητικούς δικαιούχους χρηματοδότησης, τις επιλέξιμες κατηγορίες δαπανών, το ύψος της επιχορήγησης, τη διαδικασία υποβολής και αξιολόγησης προτάσεων, τα δικαιώματα και τις υποχρεώσεις των δικαιούχων καθώς και κάθε άλλη αναγκαία λεπτομέρεια για την ορθή υλοποίηση των εν λόγω προγραμμάτων.</w:t>
      </w:r>
    </w:p>
    <w:p w:rsidR="009C1353" w:rsidRPr="00786512" w:rsidRDefault="009C1353" w:rsidP="00B77DA2">
      <w:pPr>
        <w:spacing w:after="0" w:line="240" w:lineRule="auto"/>
        <w:jc w:val="both"/>
        <w:rPr>
          <w:color w:val="000000"/>
        </w:rPr>
      </w:pPr>
    </w:p>
    <w:p w:rsidR="00246E05" w:rsidRPr="00786512" w:rsidRDefault="00246E05" w:rsidP="00B77DA2">
      <w:pPr>
        <w:spacing w:after="0" w:line="240" w:lineRule="auto"/>
        <w:jc w:val="both"/>
        <w:rPr>
          <w:color w:val="000000"/>
        </w:rPr>
      </w:pPr>
    </w:p>
    <w:p w:rsidR="00246E05" w:rsidRPr="00786512" w:rsidRDefault="00246E05" w:rsidP="00B77DA2">
      <w:pPr>
        <w:spacing w:after="0" w:line="240" w:lineRule="auto"/>
        <w:jc w:val="both"/>
        <w:rPr>
          <w:color w:val="000000"/>
        </w:rPr>
      </w:pPr>
    </w:p>
    <w:p w:rsidR="009C1353" w:rsidRPr="00786512" w:rsidRDefault="00246E05" w:rsidP="00B77DA2">
      <w:pPr>
        <w:spacing w:after="0" w:line="240" w:lineRule="auto"/>
        <w:jc w:val="center"/>
        <w:rPr>
          <w:rFonts w:eastAsia="Calibri" w:cs="Times New Roman"/>
          <w:b/>
        </w:rPr>
      </w:pPr>
      <w:r w:rsidRPr="00786512">
        <w:rPr>
          <w:rFonts w:eastAsia="Calibri" w:cs="Times New Roman"/>
          <w:b/>
          <w:lang w:val="en-US"/>
        </w:rPr>
        <w:t>O</w:t>
      </w:r>
      <w:r w:rsidRPr="00786512">
        <w:rPr>
          <w:rFonts w:eastAsia="Calibri" w:cs="Times New Roman"/>
          <w:b/>
        </w:rPr>
        <w:t>Ι ΥΠΟΥΡΓΟΙ</w:t>
      </w:r>
    </w:p>
    <w:p w:rsidR="00246E05" w:rsidRPr="00786512" w:rsidRDefault="00246E05" w:rsidP="00B77DA2">
      <w:pPr>
        <w:spacing w:after="0" w:line="240" w:lineRule="auto"/>
        <w:rPr>
          <w:rFonts w:eastAsia="Calibri" w:cs="Times New Roman"/>
          <w:b/>
        </w:rPr>
      </w:pPr>
      <w:r w:rsidRPr="00786512">
        <w:rPr>
          <w:rFonts w:eastAsia="Calibri" w:cs="Times New Roman"/>
          <w:b/>
        </w:rPr>
        <w:t xml:space="preserve">ΠΑΙΔΕΙΑΣ, ΕΡΕΥΝΑΣ ΚΑΙ </w:t>
      </w:r>
      <w:r w:rsidR="009C1353" w:rsidRPr="00786512">
        <w:rPr>
          <w:rFonts w:eastAsia="Calibri" w:cs="Times New Roman"/>
          <w:b/>
        </w:rPr>
        <w:t xml:space="preserve">                </w:t>
      </w:r>
      <w:r w:rsidRPr="00786512">
        <w:rPr>
          <w:rFonts w:eastAsia="Calibri" w:cs="Times New Roman"/>
          <w:b/>
        </w:rPr>
        <w:t xml:space="preserve"> </w:t>
      </w:r>
      <w:r w:rsidRPr="00786512">
        <w:rPr>
          <w:b/>
        </w:rPr>
        <w:t xml:space="preserve">ΕΣΩΤΕΡΙΚΩΝ ΚΑΙ ΔΙΟΙΚΗΤΙΚΗΣ </w:t>
      </w:r>
      <w:r w:rsidRPr="00786512">
        <w:rPr>
          <w:rFonts w:eastAsia="Calibri" w:cs="Times New Roman"/>
          <w:b/>
        </w:rPr>
        <w:t xml:space="preserve">                  </w:t>
      </w:r>
      <w:r w:rsidR="009C1353" w:rsidRPr="00786512">
        <w:rPr>
          <w:rFonts w:eastAsia="Calibri" w:cs="Times New Roman"/>
          <w:b/>
        </w:rPr>
        <w:t xml:space="preserve">                      </w:t>
      </w:r>
      <w:r w:rsidRPr="00786512">
        <w:rPr>
          <w:rFonts w:eastAsia="Calibri" w:cs="Times New Roman"/>
          <w:b/>
        </w:rPr>
        <w:t xml:space="preserve">                       </w:t>
      </w:r>
    </w:p>
    <w:p w:rsidR="00246E05" w:rsidRPr="00786512" w:rsidRDefault="009C1353" w:rsidP="00B77DA2">
      <w:pPr>
        <w:tabs>
          <w:tab w:val="left" w:pos="4815"/>
          <w:tab w:val="left" w:pos="6795"/>
        </w:tabs>
        <w:spacing w:after="0" w:line="240" w:lineRule="auto"/>
        <w:rPr>
          <w:b/>
        </w:rPr>
      </w:pPr>
      <w:r w:rsidRPr="00786512">
        <w:rPr>
          <w:rFonts w:eastAsia="Calibri" w:cs="Times New Roman"/>
          <w:b/>
        </w:rPr>
        <w:t xml:space="preserve">     ΘΡΗΣΚΕΥΜΑΤΩΝ</w:t>
      </w:r>
      <w:r w:rsidRPr="00786512">
        <w:rPr>
          <w:b/>
        </w:rPr>
        <w:t xml:space="preserve">                                </w:t>
      </w:r>
      <w:r w:rsidR="00246E05" w:rsidRPr="00786512">
        <w:rPr>
          <w:b/>
        </w:rPr>
        <w:t>ΑΝΑΣΥΓΚΡΟΤΗΣΗΣ</w:t>
      </w:r>
      <w:r w:rsidRPr="00786512">
        <w:rPr>
          <w:b/>
        </w:rPr>
        <w:tab/>
        <w:t>ΟΙΚΟΝΟΜΙΚΩΝ</w:t>
      </w:r>
    </w:p>
    <w:p w:rsidR="00246E05" w:rsidRPr="00786512" w:rsidRDefault="00246E05" w:rsidP="00B77DA2">
      <w:pPr>
        <w:tabs>
          <w:tab w:val="left" w:pos="4815"/>
        </w:tabs>
        <w:spacing w:after="0" w:line="240" w:lineRule="auto"/>
        <w:rPr>
          <w:rFonts w:eastAsia="Calibri" w:cs="Times New Roman"/>
          <w:b/>
        </w:rPr>
      </w:pPr>
    </w:p>
    <w:p w:rsidR="009C1353" w:rsidRPr="00786512" w:rsidRDefault="009C1353" w:rsidP="00B77DA2">
      <w:pPr>
        <w:spacing w:after="0" w:line="240" w:lineRule="auto"/>
        <w:jc w:val="center"/>
        <w:rPr>
          <w:b/>
        </w:rPr>
      </w:pPr>
      <w:r w:rsidRPr="00786512">
        <w:rPr>
          <w:rFonts w:eastAsia="Calibri" w:cs="Times New Roman"/>
          <w:b/>
        </w:rPr>
        <w:t xml:space="preserve">   </w:t>
      </w:r>
      <w:r w:rsidR="00246E05" w:rsidRPr="00786512">
        <w:rPr>
          <w:rFonts w:eastAsia="Calibri" w:cs="Times New Roman"/>
          <w:b/>
        </w:rPr>
        <w:t xml:space="preserve">  Νικόλαος Φίλης                        </w:t>
      </w:r>
      <w:r w:rsidR="00246E05" w:rsidRPr="00786512">
        <w:rPr>
          <w:b/>
        </w:rPr>
        <w:t xml:space="preserve">Παναγιώτης </w:t>
      </w:r>
      <w:proofErr w:type="spellStart"/>
      <w:r w:rsidR="00246E05" w:rsidRPr="00786512">
        <w:rPr>
          <w:b/>
        </w:rPr>
        <w:t>Κουρουμπλής</w:t>
      </w:r>
      <w:proofErr w:type="spellEnd"/>
      <w:r w:rsidR="00246E05" w:rsidRPr="00786512">
        <w:rPr>
          <w:rFonts w:eastAsia="Calibri" w:cs="Times New Roman"/>
          <w:b/>
        </w:rPr>
        <w:t xml:space="preserve">              </w:t>
      </w:r>
      <w:r w:rsidRPr="00786512">
        <w:rPr>
          <w:rFonts w:eastAsia="Calibri" w:cs="Times New Roman"/>
          <w:b/>
        </w:rPr>
        <w:t xml:space="preserve"> </w:t>
      </w:r>
      <w:r w:rsidRPr="00786512">
        <w:rPr>
          <w:b/>
        </w:rPr>
        <w:t xml:space="preserve">Ευκλείδης </w:t>
      </w:r>
      <w:proofErr w:type="spellStart"/>
      <w:r w:rsidRPr="00786512">
        <w:rPr>
          <w:b/>
        </w:rPr>
        <w:t>Τσακαλώτος</w:t>
      </w:r>
      <w:proofErr w:type="spellEnd"/>
    </w:p>
    <w:p w:rsidR="00246E05" w:rsidRPr="00786512" w:rsidRDefault="00246E05" w:rsidP="00B77DA2">
      <w:pPr>
        <w:spacing w:after="0" w:line="240" w:lineRule="auto"/>
        <w:rPr>
          <w:b/>
        </w:rPr>
      </w:pPr>
    </w:p>
    <w:p w:rsidR="00246E05" w:rsidRPr="00786512" w:rsidRDefault="00246E05" w:rsidP="00B77DA2">
      <w:pPr>
        <w:spacing w:after="0" w:line="240" w:lineRule="auto"/>
        <w:rPr>
          <w:b/>
        </w:rPr>
      </w:pPr>
    </w:p>
    <w:p w:rsidR="009C1353" w:rsidRPr="00786512" w:rsidRDefault="009C1353" w:rsidP="00B77DA2">
      <w:pPr>
        <w:spacing w:after="0" w:line="240" w:lineRule="auto"/>
        <w:jc w:val="center"/>
        <w:rPr>
          <w:b/>
        </w:rPr>
      </w:pPr>
    </w:p>
    <w:p w:rsidR="009C1353" w:rsidRPr="00786512" w:rsidRDefault="009C1353" w:rsidP="00B77DA2">
      <w:pPr>
        <w:spacing w:after="0" w:line="240" w:lineRule="auto"/>
        <w:jc w:val="center"/>
        <w:rPr>
          <w:b/>
        </w:rPr>
      </w:pPr>
      <w:r w:rsidRPr="00786512">
        <w:rPr>
          <w:b/>
        </w:rPr>
        <w:t>Ο ΑΝΑΠΛΗΡΩΤΗΣ ΥΠΟΥΡΓΟΣ</w:t>
      </w:r>
    </w:p>
    <w:p w:rsidR="009C1353" w:rsidRPr="00786512" w:rsidRDefault="009C1353" w:rsidP="00B77DA2">
      <w:pPr>
        <w:spacing w:after="0" w:line="240" w:lineRule="auto"/>
        <w:jc w:val="center"/>
        <w:rPr>
          <w:b/>
        </w:rPr>
      </w:pPr>
      <w:r w:rsidRPr="00786512">
        <w:rPr>
          <w:b/>
        </w:rPr>
        <w:t>ΠΑΙΔΕΙΑΣ, ΕΡΕΥΝΑΣ ΚΑΙ ΘΡΗΣΚΕΥΜΑΤΩΝ</w:t>
      </w:r>
    </w:p>
    <w:p w:rsidR="009C1353" w:rsidRPr="00786512" w:rsidRDefault="009C1353" w:rsidP="00B77DA2">
      <w:pPr>
        <w:spacing w:after="0" w:line="240" w:lineRule="auto"/>
        <w:jc w:val="center"/>
        <w:rPr>
          <w:b/>
        </w:rPr>
      </w:pPr>
    </w:p>
    <w:p w:rsidR="009C1353" w:rsidRPr="00786512" w:rsidRDefault="009C1353" w:rsidP="00B77DA2">
      <w:pPr>
        <w:spacing w:after="0" w:line="240" w:lineRule="auto"/>
        <w:jc w:val="center"/>
        <w:rPr>
          <w:b/>
        </w:rPr>
      </w:pPr>
      <w:r w:rsidRPr="00786512">
        <w:rPr>
          <w:b/>
        </w:rPr>
        <w:t xml:space="preserve">Κωνσταντίνος </w:t>
      </w:r>
      <w:proofErr w:type="spellStart"/>
      <w:r w:rsidRPr="00786512">
        <w:rPr>
          <w:b/>
        </w:rPr>
        <w:t>Φωτάκης</w:t>
      </w:r>
      <w:proofErr w:type="spellEnd"/>
    </w:p>
    <w:p w:rsidR="00492DCF" w:rsidRPr="00786512" w:rsidRDefault="00492DCF" w:rsidP="00B77DA2">
      <w:pPr>
        <w:spacing w:after="0" w:line="240" w:lineRule="auto"/>
        <w:jc w:val="center"/>
        <w:rPr>
          <w:b/>
        </w:rPr>
      </w:pPr>
    </w:p>
    <w:sectPr w:rsidR="00492DCF" w:rsidRPr="00786512" w:rsidSect="004818E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DejaVuSans">
    <w:panose1 w:val="00000000000000000000"/>
    <w:charset w:val="A1"/>
    <w:family w:val="auto"/>
    <w:notTrueType/>
    <w:pitch w:val="default"/>
    <w:sig w:usb0="00000081" w:usb1="00000000" w:usb2="00000000" w:usb3="00000000" w:csb0="00000008" w:csb1="00000000"/>
  </w:font>
  <w:font w:name="Courier New">
    <w:panose1 w:val="02070309020205020404"/>
    <w:charset w:val="00"/>
    <w:family w:val="modern"/>
    <w:notTrueType/>
    <w:pitch w:val="fixed"/>
    <w:sig w:usb0="00000003" w:usb1="00000000" w:usb2="00000000" w:usb3="00000000" w:csb0="00000001" w:csb1="00000000"/>
  </w:font>
  <w:font w:name="NimbusSanL-Regu">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C1A"/>
    <w:rsid w:val="00114D7A"/>
    <w:rsid w:val="001547A6"/>
    <w:rsid w:val="00246E05"/>
    <w:rsid w:val="002F3D5D"/>
    <w:rsid w:val="00315B47"/>
    <w:rsid w:val="00477728"/>
    <w:rsid w:val="004818EE"/>
    <w:rsid w:val="00492DCF"/>
    <w:rsid w:val="004C6FAE"/>
    <w:rsid w:val="00512F51"/>
    <w:rsid w:val="005249A2"/>
    <w:rsid w:val="0053760B"/>
    <w:rsid w:val="005B7956"/>
    <w:rsid w:val="005D6C1A"/>
    <w:rsid w:val="006C5435"/>
    <w:rsid w:val="00714B8C"/>
    <w:rsid w:val="00786512"/>
    <w:rsid w:val="008B12D4"/>
    <w:rsid w:val="008B24C8"/>
    <w:rsid w:val="00957B1E"/>
    <w:rsid w:val="009C1353"/>
    <w:rsid w:val="00A7301E"/>
    <w:rsid w:val="00AE6381"/>
    <w:rsid w:val="00B77DA2"/>
    <w:rsid w:val="00C937E2"/>
    <w:rsid w:val="00EF4AF4"/>
    <w:rsid w:val="00F4210E"/>
    <w:rsid w:val="00FF0C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C1A"/>
    <w:pPr>
      <w:ind w:left="720"/>
      <w:contextualSpacing/>
    </w:pPr>
  </w:style>
  <w:style w:type="paragraph" w:styleId="a4">
    <w:name w:val="No Spacing"/>
    <w:link w:val="Char"/>
    <w:uiPriority w:val="1"/>
    <w:qFormat/>
    <w:rsid w:val="005D6C1A"/>
    <w:pPr>
      <w:spacing w:after="0" w:line="240" w:lineRule="auto"/>
    </w:pPr>
    <w:rPr>
      <w:rFonts w:ascii="Arial" w:eastAsia="Arial" w:hAnsi="Arial" w:cs="Arial"/>
      <w:color w:val="000000"/>
      <w:sz w:val="20"/>
      <w:szCs w:val="20"/>
      <w:lang w:eastAsia="el-GR"/>
    </w:rPr>
  </w:style>
  <w:style w:type="character" w:customStyle="1" w:styleId="Char">
    <w:name w:val="Χωρίς διάστιχο Char"/>
    <w:link w:val="a4"/>
    <w:uiPriority w:val="1"/>
    <w:rsid w:val="005D6C1A"/>
    <w:rPr>
      <w:rFonts w:ascii="Arial" w:eastAsia="Arial" w:hAnsi="Arial" w:cs="Arial"/>
      <w:color w:val="000000"/>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855</Words>
  <Characters>4620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2016-08-24T11:32:00Z</cp:lastPrinted>
  <dcterms:created xsi:type="dcterms:W3CDTF">2016-08-23T06:22:00Z</dcterms:created>
  <dcterms:modified xsi:type="dcterms:W3CDTF">2016-08-24T12:45:00Z</dcterms:modified>
</cp:coreProperties>
</file>