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D9B41" w14:textId="7AAEDE8D" w:rsidR="000C2BAE" w:rsidRPr="00EE71F6" w:rsidRDefault="008E223A" w:rsidP="00EE7303">
      <w:pPr>
        <w:pStyle w:val="Web"/>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8F04E2">
        <w:rPr>
          <w:rFonts w:asciiTheme="minorHAnsi" w:hAnsiTheme="minorHAnsi"/>
        </w:rPr>
        <w:t xml:space="preserve">     </w:t>
      </w:r>
      <w:r w:rsidR="0025599A">
        <w:rPr>
          <w:rFonts w:asciiTheme="minorHAnsi" w:hAnsiTheme="minorHAnsi"/>
        </w:rPr>
        <w:t xml:space="preserve">Μαρούσι, </w:t>
      </w:r>
      <w:r w:rsidR="0025599A" w:rsidRPr="00F76A43">
        <w:rPr>
          <w:rFonts w:asciiTheme="minorHAnsi" w:hAnsiTheme="minorHAnsi"/>
        </w:rPr>
        <w:t>0</w:t>
      </w:r>
      <w:r w:rsidR="008F04E2">
        <w:rPr>
          <w:rFonts w:asciiTheme="minorHAnsi" w:hAnsiTheme="minorHAnsi"/>
        </w:rPr>
        <w:t>6</w:t>
      </w:r>
      <w:r>
        <w:rPr>
          <w:rFonts w:asciiTheme="minorHAnsi" w:hAnsiTheme="minorHAnsi"/>
        </w:rPr>
        <w:t>/</w:t>
      </w:r>
      <w:r w:rsidR="0079449F">
        <w:rPr>
          <w:rFonts w:asciiTheme="minorHAnsi" w:hAnsiTheme="minorHAnsi"/>
        </w:rPr>
        <w:t>0</w:t>
      </w:r>
      <w:r w:rsidR="0025599A" w:rsidRPr="00F76A43">
        <w:rPr>
          <w:rFonts w:asciiTheme="minorHAnsi" w:hAnsiTheme="minorHAnsi"/>
        </w:rPr>
        <w:t>7</w:t>
      </w:r>
      <w:r>
        <w:rPr>
          <w:rFonts w:asciiTheme="minorHAnsi" w:hAnsiTheme="minorHAnsi"/>
        </w:rPr>
        <w:t>/20</w:t>
      </w:r>
      <w:r w:rsidR="00253E25">
        <w:rPr>
          <w:rFonts w:asciiTheme="minorHAnsi" w:hAnsiTheme="minorHAnsi"/>
        </w:rPr>
        <w:t>20</w:t>
      </w:r>
    </w:p>
    <w:p w14:paraId="451A0134" w14:textId="77777777" w:rsidR="000C2BAE" w:rsidRPr="00253E25" w:rsidRDefault="000C2BAE" w:rsidP="005A3629">
      <w:pPr>
        <w:pStyle w:val="Web"/>
        <w:jc w:val="center"/>
        <w:rPr>
          <w:rFonts w:asciiTheme="minorHAnsi" w:hAnsiTheme="minorHAnsi"/>
          <w:b/>
          <w:sz w:val="36"/>
          <w:szCs w:val="36"/>
        </w:rPr>
      </w:pPr>
      <w:r w:rsidRPr="00253E25">
        <w:rPr>
          <w:rFonts w:asciiTheme="minorHAnsi" w:hAnsiTheme="minorHAnsi"/>
          <w:b/>
          <w:sz w:val="36"/>
          <w:szCs w:val="36"/>
        </w:rPr>
        <w:t>ΔΕΛΤΙΟ ΤΥΠΟΥ</w:t>
      </w:r>
    </w:p>
    <w:p w14:paraId="11ACF3A5" w14:textId="7FE7ACB6" w:rsidR="000C2BAE" w:rsidRPr="00F76A43" w:rsidRDefault="00310481" w:rsidP="00EE71F6">
      <w:pPr>
        <w:pStyle w:val="Web"/>
        <w:jc w:val="center"/>
        <w:rPr>
          <w:rFonts w:asciiTheme="minorHAnsi" w:hAnsiTheme="minorHAnsi"/>
          <w:b/>
          <w:sz w:val="22"/>
        </w:rPr>
      </w:pPr>
      <w:r w:rsidRPr="00F76A43">
        <w:rPr>
          <w:rFonts w:asciiTheme="minorHAnsi" w:hAnsiTheme="minorHAnsi"/>
          <w:b/>
          <w:sz w:val="22"/>
        </w:rPr>
        <w:t xml:space="preserve">ΕΝΑΡΞΗ </w:t>
      </w:r>
      <w:r w:rsidR="0025599A" w:rsidRPr="00F76A43">
        <w:rPr>
          <w:rFonts w:asciiTheme="minorHAnsi" w:hAnsiTheme="minorHAnsi"/>
          <w:b/>
          <w:sz w:val="22"/>
        </w:rPr>
        <w:t>1</w:t>
      </w:r>
      <w:r w:rsidR="0025599A" w:rsidRPr="00F76A43">
        <w:rPr>
          <w:rFonts w:asciiTheme="minorHAnsi" w:hAnsiTheme="minorHAnsi"/>
          <w:b/>
          <w:sz w:val="22"/>
          <w:vertAlign w:val="superscript"/>
        </w:rPr>
        <w:t>η</w:t>
      </w:r>
      <w:r w:rsidR="00F76A43" w:rsidRPr="00F76A43">
        <w:rPr>
          <w:rFonts w:asciiTheme="minorHAnsi" w:hAnsiTheme="minorHAnsi"/>
          <w:b/>
          <w:sz w:val="22"/>
          <w:vertAlign w:val="superscript"/>
        </w:rPr>
        <w:t>ς</w:t>
      </w:r>
      <w:r w:rsidRPr="00F76A43">
        <w:rPr>
          <w:rFonts w:asciiTheme="minorHAnsi" w:hAnsiTheme="minorHAnsi"/>
          <w:b/>
          <w:sz w:val="22"/>
        </w:rPr>
        <w:t xml:space="preserve"> ΠΕΡΙΟΔΟΥ</w:t>
      </w:r>
      <w:r w:rsidR="0025599A" w:rsidRPr="00F76A43">
        <w:rPr>
          <w:rFonts w:asciiTheme="minorHAnsi" w:hAnsiTheme="minorHAnsi"/>
          <w:b/>
          <w:sz w:val="22"/>
        </w:rPr>
        <w:t xml:space="preserve"> </w:t>
      </w:r>
      <w:r w:rsidR="008C65F1" w:rsidRPr="00F76A43">
        <w:rPr>
          <w:rFonts w:asciiTheme="minorHAnsi" w:hAnsiTheme="minorHAnsi"/>
          <w:b/>
          <w:sz w:val="22"/>
        </w:rPr>
        <w:t>Π</w:t>
      </w:r>
      <w:r w:rsidRPr="00F76A43">
        <w:rPr>
          <w:rFonts w:asciiTheme="minorHAnsi" w:hAnsiTheme="minorHAnsi"/>
          <w:b/>
          <w:sz w:val="22"/>
        </w:rPr>
        <w:t>ΡΟΠΑΡΑΣΚΕΥΑΣΤΙΚΟΥ</w:t>
      </w:r>
      <w:r w:rsidR="008C65F1" w:rsidRPr="00F76A43">
        <w:rPr>
          <w:rFonts w:asciiTheme="minorHAnsi" w:hAnsiTheme="minorHAnsi"/>
          <w:b/>
          <w:sz w:val="22"/>
        </w:rPr>
        <w:t xml:space="preserve"> Π</w:t>
      </w:r>
      <w:r w:rsidRPr="00F76A43">
        <w:rPr>
          <w:rFonts w:asciiTheme="minorHAnsi" w:hAnsiTheme="minorHAnsi"/>
          <w:b/>
          <w:sz w:val="22"/>
        </w:rPr>
        <w:t>ΡΟΓΡΑΜΜΑΤΟΣ</w:t>
      </w:r>
      <w:r w:rsidR="008C65F1" w:rsidRPr="00F76A43">
        <w:rPr>
          <w:rFonts w:asciiTheme="minorHAnsi" w:hAnsiTheme="minorHAnsi"/>
          <w:b/>
          <w:sz w:val="22"/>
        </w:rPr>
        <w:t xml:space="preserve"> Π</w:t>
      </w:r>
      <w:r w:rsidRPr="00F76A43">
        <w:rPr>
          <w:rFonts w:asciiTheme="minorHAnsi" w:hAnsiTheme="minorHAnsi"/>
          <w:b/>
          <w:sz w:val="22"/>
        </w:rPr>
        <w:t>ΙΣΤΟΠΟΙΗΣΗΣ</w:t>
      </w:r>
      <w:r w:rsidR="008C65F1" w:rsidRPr="00F76A43">
        <w:rPr>
          <w:rFonts w:asciiTheme="minorHAnsi" w:hAnsiTheme="minorHAnsi"/>
          <w:b/>
          <w:sz w:val="22"/>
        </w:rPr>
        <w:t xml:space="preserve"> (Π</w:t>
      </w:r>
      <w:r w:rsidR="00F76A43" w:rsidRPr="00F76A43">
        <w:rPr>
          <w:rFonts w:asciiTheme="minorHAnsi" w:hAnsiTheme="minorHAnsi"/>
          <w:b/>
          <w:sz w:val="22"/>
        </w:rPr>
        <w:t>.</w:t>
      </w:r>
      <w:r w:rsidR="008C65F1" w:rsidRPr="00F76A43">
        <w:rPr>
          <w:rFonts w:asciiTheme="minorHAnsi" w:hAnsiTheme="minorHAnsi"/>
          <w:b/>
          <w:sz w:val="22"/>
        </w:rPr>
        <w:t>Π</w:t>
      </w:r>
      <w:r w:rsidR="00F76A43" w:rsidRPr="00F76A43">
        <w:rPr>
          <w:rFonts w:asciiTheme="minorHAnsi" w:hAnsiTheme="minorHAnsi"/>
          <w:b/>
          <w:sz w:val="22"/>
        </w:rPr>
        <w:t>.</w:t>
      </w:r>
      <w:r w:rsidR="008C65F1" w:rsidRPr="00F76A43">
        <w:rPr>
          <w:rFonts w:asciiTheme="minorHAnsi" w:hAnsiTheme="minorHAnsi"/>
          <w:b/>
          <w:sz w:val="22"/>
        </w:rPr>
        <w:t>Π</w:t>
      </w:r>
      <w:r w:rsidR="00F76A43" w:rsidRPr="00F76A43">
        <w:rPr>
          <w:rFonts w:asciiTheme="minorHAnsi" w:hAnsiTheme="minorHAnsi"/>
          <w:b/>
          <w:sz w:val="22"/>
        </w:rPr>
        <w:t>.</w:t>
      </w:r>
      <w:r w:rsidR="008C65F1" w:rsidRPr="00F76A43">
        <w:rPr>
          <w:rFonts w:asciiTheme="minorHAnsi" w:hAnsiTheme="minorHAnsi"/>
          <w:b/>
          <w:sz w:val="22"/>
        </w:rPr>
        <w:t>) Μ</w:t>
      </w:r>
      <w:r w:rsidRPr="00F76A43">
        <w:rPr>
          <w:rFonts w:asciiTheme="minorHAnsi" w:hAnsiTheme="minorHAnsi"/>
          <w:b/>
          <w:sz w:val="22"/>
        </w:rPr>
        <w:t>ΕΤΑΛΥΚΕΙΑΚΟΥ ΕΤΟΥΣ</w:t>
      </w:r>
      <w:r w:rsidR="008C65F1" w:rsidRPr="00F76A43">
        <w:rPr>
          <w:rFonts w:asciiTheme="minorHAnsi" w:hAnsiTheme="minorHAnsi"/>
          <w:b/>
          <w:sz w:val="22"/>
        </w:rPr>
        <w:t xml:space="preserve"> –</w:t>
      </w:r>
      <w:r w:rsidRPr="00F76A43">
        <w:rPr>
          <w:rFonts w:asciiTheme="minorHAnsi" w:hAnsiTheme="minorHAnsi"/>
          <w:b/>
          <w:sz w:val="22"/>
        </w:rPr>
        <w:t xml:space="preserve"> ΤΑΞΗΣ</w:t>
      </w:r>
      <w:r w:rsidR="008C65F1" w:rsidRPr="00F76A43">
        <w:rPr>
          <w:rFonts w:asciiTheme="minorHAnsi" w:hAnsiTheme="minorHAnsi"/>
          <w:b/>
          <w:sz w:val="22"/>
        </w:rPr>
        <w:t xml:space="preserve"> </w:t>
      </w:r>
      <w:r w:rsidRPr="00F76A43">
        <w:rPr>
          <w:rFonts w:asciiTheme="minorHAnsi" w:hAnsiTheme="minorHAnsi"/>
          <w:b/>
          <w:sz w:val="22"/>
        </w:rPr>
        <w:t>ΜΑΘΗΤΕΙΑΣ</w:t>
      </w:r>
      <w:r w:rsidR="008C65F1" w:rsidRPr="00F76A43">
        <w:rPr>
          <w:rFonts w:asciiTheme="minorHAnsi" w:hAnsiTheme="minorHAnsi"/>
          <w:b/>
          <w:sz w:val="22"/>
        </w:rPr>
        <w:t xml:space="preserve"> ΕΠΑ.Λ.</w:t>
      </w:r>
    </w:p>
    <w:p w14:paraId="416C8EE2" w14:textId="1F7F05F5" w:rsidR="00F76A43" w:rsidRPr="00F76A43" w:rsidRDefault="008F04E2" w:rsidP="008C65F1">
      <w:pPr>
        <w:pStyle w:val="Web"/>
        <w:jc w:val="both"/>
        <w:rPr>
          <w:rFonts w:asciiTheme="minorHAnsi" w:hAnsiTheme="minorHAnsi"/>
          <w:sz w:val="22"/>
        </w:rPr>
      </w:pPr>
      <w:r>
        <w:rPr>
          <w:rFonts w:asciiTheme="minorHAnsi" w:hAnsiTheme="minorHAnsi"/>
          <w:sz w:val="22"/>
        </w:rPr>
        <w:t>Ξεκινά πανελλαδικά από σήμερα,</w:t>
      </w:r>
      <w:r w:rsidR="00F76A43" w:rsidRPr="00F76A43">
        <w:rPr>
          <w:rFonts w:asciiTheme="minorHAnsi" w:hAnsiTheme="minorHAnsi"/>
          <w:sz w:val="22"/>
        </w:rPr>
        <w:t xml:space="preserve"> Δευτέρα 6-7-2020 έως την Τρίτη 14-7-2020 η 1</w:t>
      </w:r>
      <w:r w:rsidR="00F76A43" w:rsidRPr="00F76A43">
        <w:rPr>
          <w:rFonts w:asciiTheme="minorHAnsi" w:hAnsiTheme="minorHAnsi"/>
          <w:sz w:val="22"/>
          <w:vertAlign w:val="superscript"/>
        </w:rPr>
        <w:t>η</w:t>
      </w:r>
      <w:r w:rsidR="00F76A43" w:rsidRPr="00F76A43">
        <w:rPr>
          <w:rFonts w:asciiTheme="minorHAnsi" w:hAnsiTheme="minorHAnsi"/>
          <w:sz w:val="22"/>
        </w:rPr>
        <w:t xml:space="preserve"> περίοδος υλοποίησης του Προπαρασκευαστικού Προγράμματος Πιστοποίησης (ΠΠΠ) Μεταλυκειακού Έτους – Τάξης Μαθητείας ΕΠΑ.Λ. για τις ειδικότητες  «Αισθητικής Τέχνης», «Βοηθός Ιατρικών - Βιολογικών Εργαστηρίων», «Βοηθός Νοσηλευτή», «Βοηθός Φυσικοθεραπευτή», «Γραφικών Τεχνών», «Σχεδιαστής Δομικών Έργων και Γεωπληροφορικής», «Τεχνικός Εφαρμογών Πληροφορικής», «Τεχνικός Οχημάτων», «Τεχνικός Φυτικής Παραγωγής» και «Υπάλληλος Τουριστικών Επιχειρήσεων», σε εκτέλεση της εγκυκλίου του Γενικού Γραμματέα Επαγγελματικής Εκ</w:t>
      </w:r>
      <w:r>
        <w:rPr>
          <w:rFonts w:asciiTheme="minorHAnsi" w:hAnsiTheme="minorHAnsi"/>
          <w:sz w:val="22"/>
        </w:rPr>
        <w:t>παίδευσης, Κ</w:t>
      </w:r>
      <w:r w:rsidR="00F76A43" w:rsidRPr="00F76A43">
        <w:rPr>
          <w:rFonts w:asciiTheme="minorHAnsi" w:hAnsiTheme="minorHAnsi"/>
          <w:sz w:val="22"/>
        </w:rPr>
        <w:t>ατάρτισης και Διά Βίου Μάθησης.</w:t>
      </w:r>
    </w:p>
    <w:p w14:paraId="3B35D2F0" w14:textId="1D79C7ED" w:rsidR="008C65F1" w:rsidRPr="00F76A43" w:rsidRDefault="00F76A43" w:rsidP="008C65F1">
      <w:pPr>
        <w:pStyle w:val="Web"/>
        <w:jc w:val="both"/>
        <w:rPr>
          <w:rFonts w:asciiTheme="minorHAnsi" w:hAnsiTheme="minorHAnsi"/>
          <w:sz w:val="22"/>
        </w:rPr>
      </w:pPr>
      <w:r w:rsidRPr="00F76A43">
        <w:rPr>
          <w:rFonts w:asciiTheme="minorHAnsi" w:hAnsiTheme="minorHAnsi"/>
          <w:sz w:val="22"/>
        </w:rPr>
        <w:t>Στην 1</w:t>
      </w:r>
      <w:r w:rsidRPr="00F76A43">
        <w:rPr>
          <w:rFonts w:asciiTheme="minorHAnsi" w:hAnsiTheme="minorHAnsi"/>
          <w:sz w:val="22"/>
          <w:vertAlign w:val="superscript"/>
        </w:rPr>
        <w:t>η</w:t>
      </w:r>
      <w:r w:rsidRPr="00F76A43">
        <w:rPr>
          <w:rFonts w:asciiTheme="minorHAnsi" w:hAnsiTheme="minorHAnsi"/>
          <w:sz w:val="22"/>
        </w:rPr>
        <w:t xml:space="preserve"> περίοδο θα υλοποιηθούν 205 τμήματα Π.Π.Π. συνολικά σε όλη την επικράτεια της χώρας, με 282 εκπαιδευτικούς-επιμορφωτές και 1.209 μαθητευομένους. Στατιστικά ανά Περιφερειακή Διεύθυνση Εκπαίδευσης και ανά ειδικότητα παρουσιάζονται στον ακόλουθο Πίνακα και Γράφημα αντίστοιχα:</w:t>
      </w:r>
    </w:p>
    <w:tbl>
      <w:tblPr>
        <w:tblW w:w="5282" w:type="dxa"/>
        <w:jc w:val="center"/>
        <w:tblInd w:w="93" w:type="dxa"/>
        <w:tblLook w:val="04A0" w:firstRow="1" w:lastRow="0" w:firstColumn="1" w:lastColumn="0" w:noHBand="0" w:noVBand="1"/>
      </w:tblPr>
      <w:tblGrid>
        <w:gridCol w:w="3454"/>
        <w:gridCol w:w="1828"/>
      </w:tblGrid>
      <w:tr w:rsidR="00F76A43" w:rsidRPr="00F76A43" w14:paraId="7637A726" w14:textId="77777777" w:rsidTr="00F76A43">
        <w:trPr>
          <w:trHeight w:val="255"/>
          <w:jc w:val="center"/>
        </w:trPr>
        <w:tc>
          <w:tcPr>
            <w:tcW w:w="3454" w:type="dxa"/>
            <w:tcBorders>
              <w:top w:val="single" w:sz="4" w:space="0" w:color="000000"/>
              <w:left w:val="single" w:sz="4" w:space="0" w:color="000000"/>
              <w:bottom w:val="nil"/>
              <w:right w:val="nil"/>
            </w:tcBorders>
            <w:shd w:val="clear" w:color="auto" w:fill="auto"/>
            <w:noWrap/>
            <w:vAlign w:val="bottom"/>
            <w:hideMark/>
          </w:tcPr>
          <w:p w14:paraId="27B7EA1A" w14:textId="4D3DFBE2" w:rsidR="00F76A43" w:rsidRPr="00F76A43" w:rsidRDefault="00F76A43" w:rsidP="00F76A43">
            <w:pPr>
              <w:spacing w:after="0" w:line="240" w:lineRule="auto"/>
              <w:jc w:val="center"/>
              <w:rPr>
                <w:rFonts w:ascii="Calibri" w:eastAsia="Times New Roman" w:hAnsi="Calibri" w:cs="Times New Roman"/>
                <w:color w:val="000000"/>
                <w:sz w:val="20"/>
              </w:rPr>
            </w:pPr>
            <w:r w:rsidRPr="00F76A43">
              <w:rPr>
                <w:rFonts w:ascii="Calibri" w:eastAsia="Times New Roman" w:hAnsi="Calibri" w:cs="Times New Roman"/>
                <w:color w:val="000000"/>
                <w:sz w:val="20"/>
              </w:rPr>
              <w:t>ΠΕΡΙΦΕΡ</w:t>
            </w:r>
            <w:r>
              <w:rPr>
                <w:rFonts w:ascii="Calibri" w:eastAsia="Times New Roman" w:hAnsi="Calibri" w:cs="Times New Roman"/>
                <w:color w:val="000000"/>
                <w:sz w:val="20"/>
              </w:rPr>
              <w:t>Ε</w:t>
            </w:r>
            <w:r w:rsidRPr="00F76A43">
              <w:rPr>
                <w:rFonts w:ascii="Calibri" w:eastAsia="Times New Roman" w:hAnsi="Calibri" w:cs="Times New Roman"/>
                <w:color w:val="000000"/>
                <w:sz w:val="20"/>
              </w:rPr>
              <w:t>ΙΑΚΗ ΔΙΕΥ</w:t>
            </w:r>
            <w:r>
              <w:rPr>
                <w:rFonts w:ascii="Calibri" w:eastAsia="Times New Roman" w:hAnsi="Calibri" w:cs="Times New Roman"/>
                <w:color w:val="000000"/>
                <w:sz w:val="20"/>
              </w:rPr>
              <w:t>ΘΥ</w:t>
            </w:r>
            <w:r w:rsidRPr="00F76A43">
              <w:rPr>
                <w:rFonts w:ascii="Calibri" w:eastAsia="Times New Roman" w:hAnsi="Calibri" w:cs="Times New Roman"/>
                <w:color w:val="000000"/>
                <w:sz w:val="20"/>
              </w:rPr>
              <w:t>ΝΣΗ Α/ΘΜΙΑΣ &amp; Β/ΘΜΙΑΣ ΕΚΠΑΙΔΕΥΣΗΣ</w:t>
            </w:r>
          </w:p>
        </w:tc>
        <w:tc>
          <w:tcPr>
            <w:tcW w:w="1828" w:type="dxa"/>
            <w:tcBorders>
              <w:top w:val="single" w:sz="4" w:space="0" w:color="000000"/>
              <w:left w:val="single" w:sz="4" w:space="0" w:color="000000"/>
              <w:bottom w:val="nil"/>
              <w:right w:val="single" w:sz="4" w:space="0" w:color="000000"/>
            </w:tcBorders>
            <w:shd w:val="clear" w:color="auto" w:fill="auto"/>
            <w:noWrap/>
            <w:vAlign w:val="bottom"/>
            <w:hideMark/>
          </w:tcPr>
          <w:p w14:paraId="559CAA21" w14:textId="77777777" w:rsidR="00F76A43" w:rsidRPr="00F76A43" w:rsidRDefault="00F76A43" w:rsidP="00F76A43">
            <w:pPr>
              <w:spacing w:after="0" w:line="240" w:lineRule="auto"/>
              <w:jc w:val="center"/>
              <w:rPr>
                <w:rFonts w:ascii="Calibri" w:eastAsia="Times New Roman" w:hAnsi="Calibri" w:cs="Times New Roman"/>
                <w:color w:val="000000"/>
                <w:sz w:val="20"/>
              </w:rPr>
            </w:pPr>
            <w:r w:rsidRPr="00F76A43">
              <w:rPr>
                <w:rFonts w:ascii="Calibri" w:eastAsia="Times New Roman" w:hAnsi="Calibri" w:cs="Times New Roman"/>
                <w:color w:val="000000"/>
                <w:sz w:val="20"/>
              </w:rPr>
              <w:t>ΣΥΜΜΕΤΕΧΟΝΤΕΣ ΑΠΟΦΟΙΤΟΙ</w:t>
            </w:r>
          </w:p>
        </w:tc>
      </w:tr>
      <w:tr w:rsidR="00F76A43" w:rsidRPr="00F76A43" w14:paraId="3C8E8547" w14:textId="77777777" w:rsidTr="00F76A43">
        <w:trPr>
          <w:trHeight w:val="255"/>
          <w:jc w:val="center"/>
        </w:trPr>
        <w:tc>
          <w:tcPr>
            <w:tcW w:w="3454" w:type="dxa"/>
            <w:tcBorders>
              <w:top w:val="single" w:sz="4" w:space="0" w:color="000000"/>
              <w:left w:val="single" w:sz="4" w:space="0" w:color="000000"/>
              <w:bottom w:val="nil"/>
              <w:right w:val="nil"/>
            </w:tcBorders>
            <w:shd w:val="clear" w:color="auto" w:fill="auto"/>
            <w:noWrap/>
            <w:vAlign w:val="bottom"/>
            <w:hideMark/>
          </w:tcPr>
          <w:p w14:paraId="501463FA" w14:textId="53FF2AC2"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ΑΝ. ΜΑΚΕΔΟΝΙΑΣ ΚΑΙ ΘΡΑΚΗΣ</w:t>
            </w:r>
          </w:p>
        </w:tc>
        <w:tc>
          <w:tcPr>
            <w:tcW w:w="1828" w:type="dxa"/>
            <w:tcBorders>
              <w:top w:val="single" w:sz="4" w:space="0" w:color="000000"/>
              <w:left w:val="single" w:sz="4" w:space="0" w:color="000000"/>
              <w:bottom w:val="nil"/>
              <w:right w:val="single" w:sz="4" w:space="0" w:color="000000"/>
            </w:tcBorders>
            <w:shd w:val="clear" w:color="auto" w:fill="auto"/>
            <w:noWrap/>
            <w:vAlign w:val="bottom"/>
            <w:hideMark/>
          </w:tcPr>
          <w:p w14:paraId="394C3B5F"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66</w:t>
            </w:r>
          </w:p>
        </w:tc>
      </w:tr>
      <w:tr w:rsidR="00F76A43" w:rsidRPr="00F76A43" w14:paraId="7B05D627"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429BBF7F" w14:textId="7F183EB9"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ΑΤΤΙΚΗΣ</w:t>
            </w:r>
          </w:p>
        </w:tc>
        <w:tc>
          <w:tcPr>
            <w:tcW w:w="1828" w:type="dxa"/>
            <w:tcBorders>
              <w:top w:val="nil"/>
              <w:left w:val="single" w:sz="4" w:space="0" w:color="000000"/>
              <w:bottom w:val="nil"/>
              <w:right w:val="single" w:sz="4" w:space="0" w:color="000000"/>
            </w:tcBorders>
            <w:shd w:val="clear" w:color="auto" w:fill="auto"/>
            <w:noWrap/>
            <w:vAlign w:val="bottom"/>
            <w:hideMark/>
          </w:tcPr>
          <w:p w14:paraId="6C0E48A5"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248</w:t>
            </w:r>
          </w:p>
        </w:tc>
      </w:tr>
      <w:tr w:rsidR="00F76A43" w:rsidRPr="00F76A43" w14:paraId="550DB7A4"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29F58BE2" w14:textId="602B2EC6"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ΒΟΡΕΙΟΥ ΑΙΓΑΙΟΥ</w:t>
            </w:r>
          </w:p>
        </w:tc>
        <w:tc>
          <w:tcPr>
            <w:tcW w:w="1828" w:type="dxa"/>
            <w:tcBorders>
              <w:top w:val="nil"/>
              <w:left w:val="single" w:sz="4" w:space="0" w:color="000000"/>
              <w:bottom w:val="nil"/>
              <w:right w:val="single" w:sz="4" w:space="0" w:color="000000"/>
            </w:tcBorders>
            <w:shd w:val="clear" w:color="auto" w:fill="auto"/>
            <w:noWrap/>
            <w:vAlign w:val="bottom"/>
            <w:hideMark/>
          </w:tcPr>
          <w:p w14:paraId="4C041E5D"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24</w:t>
            </w:r>
          </w:p>
        </w:tc>
      </w:tr>
      <w:tr w:rsidR="00F76A43" w:rsidRPr="00F76A43" w14:paraId="526C2F6C"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0A4AF0F6" w14:textId="73AE4D99"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ΔΥΤΙΚΗΣ ΕΛΛΑΔΑΣ</w:t>
            </w:r>
          </w:p>
        </w:tc>
        <w:tc>
          <w:tcPr>
            <w:tcW w:w="1828" w:type="dxa"/>
            <w:tcBorders>
              <w:top w:val="nil"/>
              <w:left w:val="single" w:sz="4" w:space="0" w:color="000000"/>
              <w:bottom w:val="nil"/>
              <w:right w:val="single" w:sz="4" w:space="0" w:color="000000"/>
            </w:tcBorders>
            <w:shd w:val="clear" w:color="auto" w:fill="auto"/>
            <w:noWrap/>
            <w:vAlign w:val="bottom"/>
            <w:hideMark/>
          </w:tcPr>
          <w:p w14:paraId="780AD3CC"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94</w:t>
            </w:r>
          </w:p>
        </w:tc>
      </w:tr>
      <w:tr w:rsidR="00F76A43" w:rsidRPr="00F76A43" w14:paraId="36EDE94A"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1B6414E2" w14:textId="00E3E776"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ΔΥΤΙΚΗΣ ΜΑΚΕΔΟΝΙΑΣ</w:t>
            </w:r>
            <w:bookmarkStart w:id="0" w:name="_GoBack"/>
            <w:bookmarkEnd w:id="0"/>
          </w:p>
        </w:tc>
        <w:tc>
          <w:tcPr>
            <w:tcW w:w="1828" w:type="dxa"/>
            <w:tcBorders>
              <w:top w:val="nil"/>
              <w:left w:val="single" w:sz="4" w:space="0" w:color="000000"/>
              <w:bottom w:val="nil"/>
              <w:right w:val="single" w:sz="4" w:space="0" w:color="000000"/>
            </w:tcBorders>
            <w:shd w:val="clear" w:color="auto" w:fill="auto"/>
            <w:noWrap/>
            <w:vAlign w:val="bottom"/>
            <w:hideMark/>
          </w:tcPr>
          <w:p w14:paraId="6981E2FD"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54</w:t>
            </w:r>
          </w:p>
        </w:tc>
      </w:tr>
      <w:tr w:rsidR="00F76A43" w:rsidRPr="00F76A43" w14:paraId="7F38CF93"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601B8C81" w14:textId="42335D87"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ΗΠΕΙΡΟΥ</w:t>
            </w:r>
          </w:p>
        </w:tc>
        <w:tc>
          <w:tcPr>
            <w:tcW w:w="1828" w:type="dxa"/>
            <w:tcBorders>
              <w:top w:val="nil"/>
              <w:left w:val="single" w:sz="4" w:space="0" w:color="000000"/>
              <w:bottom w:val="nil"/>
              <w:right w:val="single" w:sz="4" w:space="0" w:color="000000"/>
            </w:tcBorders>
            <w:shd w:val="clear" w:color="auto" w:fill="auto"/>
            <w:noWrap/>
            <w:vAlign w:val="bottom"/>
            <w:hideMark/>
          </w:tcPr>
          <w:p w14:paraId="1BEA1BCA"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36</w:t>
            </w:r>
          </w:p>
        </w:tc>
      </w:tr>
      <w:tr w:rsidR="00F76A43" w:rsidRPr="00F76A43" w14:paraId="0C7827A8"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41802746" w14:textId="4797DEB5"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ΘΕΣΣΑΛΙΑΣ</w:t>
            </w:r>
          </w:p>
        </w:tc>
        <w:tc>
          <w:tcPr>
            <w:tcW w:w="1828" w:type="dxa"/>
            <w:tcBorders>
              <w:top w:val="nil"/>
              <w:left w:val="single" w:sz="4" w:space="0" w:color="000000"/>
              <w:bottom w:val="nil"/>
              <w:right w:val="single" w:sz="4" w:space="0" w:color="000000"/>
            </w:tcBorders>
            <w:shd w:val="clear" w:color="auto" w:fill="auto"/>
            <w:noWrap/>
            <w:vAlign w:val="bottom"/>
            <w:hideMark/>
          </w:tcPr>
          <w:p w14:paraId="6C6F7F6B"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178</w:t>
            </w:r>
          </w:p>
        </w:tc>
      </w:tr>
      <w:tr w:rsidR="00F76A43" w:rsidRPr="00F76A43" w14:paraId="6C077428"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78960E34" w14:textId="2847A2D1"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ΙΟΝΙΩΝ ΝΗΣΩΝ</w:t>
            </w:r>
          </w:p>
        </w:tc>
        <w:tc>
          <w:tcPr>
            <w:tcW w:w="1828" w:type="dxa"/>
            <w:tcBorders>
              <w:top w:val="nil"/>
              <w:left w:val="single" w:sz="4" w:space="0" w:color="000000"/>
              <w:bottom w:val="nil"/>
              <w:right w:val="single" w:sz="4" w:space="0" w:color="000000"/>
            </w:tcBorders>
            <w:shd w:val="clear" w:color="auto" w:fill="auto"/>
            <w:noWrap/>
            <w:vAlign w:val="bottom"/>
            <w:hideMark/>
          </w:tcPr>
          <w:p w14:paraId="2FABC73E"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17</w:t>
            </w:r>
          </w:p>
        </w:tc>
      </w:tr>
      <w:tr w:rsidR="00F76A43" w:rsidRPr="00F76A43" w14:paraId="3A13DD36"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75000C2D" w14:textId="5F3DF654"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ΚΕΝΤΡΙΚΗΣ ΜΑΚΕΔΟΝΙΑΣ</w:t>
            </w:r>
          </w:p>
        </w:tc>
        <w:tc>
          <w:tcPr>
            <w:tcW w:w="1828" w:type="dxa"/>
            <w:tcBorders>
              <w:top w:val="nil"/>
              <w:left w:val="single" w:sz="4" w:space="0" w:color="000000"/>
              <w:bottom w:val="nil"/>
              <w:right w:val="single" w:sz="4" w:space="0" w:color="000000"/>
            </w:tcBorders>
            <w:shd w:val="clear" w:color="auto" w:fill="auto"/>
            <w:noWrap/>
            <w:vAlign w:val="bottom"/>
            <w:hideMark/>
          </w:tcPr>
          <w:p w14:paraId="1DE01F0C"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307</w:t>
            </w:r>
          </w:p>
        </w:tc>
      </w:tr>
      <w:tr w:rsidR="00F76A43" w:rsidRPr="00F76A43" w14:paraId="10178128"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271A2FE5" w14:textId="671FDC84"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ΚΡΗΤΗΣ</w:t>
            </w:r>
          </w:p>
        </w:tc>
        <w:tc>
          <w:tcPr>
            <w:tcW w:w="1828" w:type="dxa"/>
            <w:tcBorders>
              <w:top w:val="nil"/>
              <w:left w:val="single" w:sz="4" w:space="0" w:color="000000"/>
              <w:bottom w:val="nil"/>
              <w:right w:val="single" w:sz="4" w:space="0" w:color="000000"/>
            </w:tcBorders>
            <w:shd w:val="clear" w:color="auto" w:fill="auto"/>
            <w:noWrap/>
            <w:vAlign w:val="bottom"/>
            <w:hideMark/>
          </w:tcPr>
          <w:p w14:paraId="32AC1E69"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44</w:t>
            </w:r>
          </w:p>
        </w:tc>
      </w:tr>
      <w:tr w:rsidR="00F76A43" w:rsidRPr="00F76A43" w14:paraId="63C525A9"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70C29B4B" w14:textId="4C5B924A"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ΝΟΤΙΟΥ ΑΙΓΑΙΟΥ</w:t>
            </w:r>
          </w:p>
        </w:tc>
        <w:tc>
          <w:tcPr>
            <w:tcW w:w="1828" w:type="dxa"/>
            <w:tcBorders>
              <w:top w:val="nil"/>
              <w:left w:val="single" w:sz="4" w:space="0" w:color="000000"/>
              <w:bottom w:val="nil"/>
              <w:right w:val="single" w:sz="4" w:space="0" w:color="000000"/>
            </w:tcBorders>
            <w:shd w:val="clear" w:color="auto" w:fill="auto"/>
            <w:noWrap/>
            <w:vAlign w:val="bottom"/>
            <w:hideMark/>
          </w:tcPr>
          <w:p w14:paraId="74CC7C30"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16</w:t>
            </w:r>
          </w:p>
        </w:tc>
      </w:tr>
      <w:tr w:rsidR="00F76A43" w:rsidRPr="00F76A43" w14:paraId="2E3DB8CF"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1D42B7B6" w14:textId="7007EEA8"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ΠΕΛΟΠΟΝΝΗΣΟΥ</w:t>
            </w:r>
          </w:p>
        </w:tc>
        <w:tc>
          <w:tcPr>
            <w:tcW w:w="1828" w:type="dxa"/>
            <w:tcBorders>
              <w:top w:val="nil"/>
              <w:left w:val="single" w:sz="4" w:space="0" w:color="000000"/>
              <w:bottom w:val="nil"/>
              <w:right w:val="single" w:sz="4" w:space="0" w:color="000000"/>
            </w:tcBorders>
            <w:shd w:val="clear" w:color="auto" w:fill="auto"/>
            <w:noWrap/>
            <w:vAlign w:val="bottom"/>
            <w:hideMark/>
          </w:tcPr>
          <w:p w14:paraId="238E8980"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38</w:t>
            </w:r>
          </w:p>
        </w:tc>
      </w:tr>
      <w:tr w:rsidR="00F76A43" w:rsidRPr="00F76A43" w14:paraId="50D55EBE" w14:textId="77777777" w:rsidTr="00F76A43">
        <w:trPr>
          <w:trHeight w:val="255"/>
          <w:jc w:val="center"/>
        </w:trPr>
        <w:tc>
          <w:tcPr>
            <w:tcW w:w="3454" w:type="dxa"/>
            <w:tcBorders>
              <w:top w:val="nil"/>
              <w:left w:val="single" w:sz="4" w:space="0" w:color="000000"/>
              <w:bottom w:val="nil"/>
              <w:right w:val="nil"/>
            </w:tcBorders>
            <w:shd w:val="clear" w:color="auto" w:fill="auto"/>
            <w:noWrap/>
            <w:vAlign w:val="bottom"/>
            <w:hideMark/>
          </w:tcPr>
          <w:p w14:paraId="10E7B7B7" w14:textId="7B5B91B2"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ΣΤΕΡΕΑΣ ΕΛΛΑΔΑΣ</w:t>
            </w:r>
          </w:p>
        </w:tc>
        <w:tc>
          <w:tcPr>
            <w:tcW w:w="1828" w:type="dxa"/>
            <w:tcBorders>
              <w:top w:val="nil"/>
              <w:left w:val="single" w:sz="4" w:space="0" w:color="000000"/>
              <w:bottom w:val="nil"/>
              <w:right w:val="single" w:sz="4" w:space="0" w:color="000000"/>
            </w:tcBorders>
            <w:shd w:val="clear" w:color="auto" w:fill="auto"/>
            <w:noWrap/>
            <w:vAlign w:val="bottom"/>
            <w:hideMark/>
          </w:tcPr>
          <w:p w14:paraId="247FAB25"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87</w:t>
            </w:r>
          </w:p>
        </w:tc>
      </w:tr>
      <w:tr w:rsidR="00F76A43" w:rsidRPr="00F76A43" w14:paraId="2CB01B6C" w14:textId="77777777" w:rsidTr="00F76A43">
        <w:trPr>
          <w:trHeight w:val="255"/>
          <w:jc w:val="center"/>
        </w:trPr>
        <w:tc>
          <w:tcPr>
            <w:tcW w:w="3454" w:type="dxa"/>
            <w:tcBorders>
              <w:top w:val="single" w:sz="4" w:space="0" w:color="000000"/>
              <w:left w:val="single" w:sz="4" w:space="0" w:color="000000"/>
              <w:bottom w:val="single" w:sz="4" w:space="0" w:color="000000"/>
              <w:right w:val="nil"/>
            </w:tcBorders>
            <w:shd w:val="clear" w:color="auto" w:fill="auto"/>
            <w:noWrap/>
            <w:vAlign w:val="bottom"/>
            <w:hideMark/>
          </w:tcPr>
          <w:p w14:paraId="24A0709F" w14:textId="6BC06D4E" w:rsidR="00F76A43" w:rsidRPr="00F76A43" w:rsidRDefault="00F76A43" w:rsidP="00F76A43">
            <w:pPr>
              <w:spacing w:after="0" w:line="240" w:lineRule="auto"/>
              <w:rPr>
                <w:rFonts w:ascii="Calibri" w:eastAsia="Times New Roman" w:hAnsi="Calibri" w:cs="Times New Roman"/>
                <w:color w:val="000000"/>
                <w:sz w:val="20"/>
              </w:rPr>
            </w:pPr>
            <w:r w:rsidRPr="00F76A43">
              <w:rPr>
                <w:rFonts w:ascii="Calibri" w:eastAsia="Times New Roman" w:hAnsi="Calibri" w:cs="Times New Roman"/>
                <w:color w:val="000000"/>
                <w:sz w:val="20"/>
              </w:rPr>
              <w:t>Σύνολο</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0D562F" w14:textId="77777777" w:rsidR="00F76A43" w:rsidRPr="00F76A43" w:rsidRDefault="00F76A43" w:rsidP="00F76A43">
            <w:pPr>
              <w:spacing w:after="0" w:line="240" w:lineRule="auto"/>
              <w:jc w:val="right"/>
              <w:rPr>
                <w:rFonts w:ascii="Calibri" w:eastAsia="Times New Roman" w:hAnsi="Calibri" w:cs="Times New Roman"/>
                <w:color w:val="000000"/>
                <w:sz w:val="20"/>
              </w:rPr>
            </w:pPr>
            <w:r w:rsidRPr="00F76A43">
              <w:rPr>
                <w:rFonts w:ascii="Calibri" w:eastAsia="Times New Roman" w:hAnsi="Calibri" w:cs="Times New Roman"/>
                <w:color w:val="000000"/>
                <w:sz w:val="20"/>
              </w:rPr>
              <w:t>1209</w:t>
            </w:r>
          </w:p>
        </w:tc>
      </w:tr>
    </w:tbl>
    <w:p w14:paraId="6F1CD323" w14:textId="5C5897BC" w:rsidR="00F76A43" w:rsidRPr="008C65F1" w:rsidRDefault="00F76A43" w:rsidP="008C65F1">
      <w:pPr>
        <w:pStyle w:val="Web"/>
        <w:jc w:val="both"/>
        <w:rPr>
          <w:rFonts w:asciiTheme="minorHAnsi" w:hAnsiTheme="minorHAnsi"/>
        </w:rPr>
      </w:pPr>
      <w:r>
        <w:rPr>
          <w:noProof/>
        </w:rPr>
        <w:drawing>
          <wp:inline distT="0" distB="0" distL="0" distR="0" wp14:anchorId="4DC1E901" wp14:editId="04568A14">
            <wp:extent cx="5848350" cy="2857500"/>
            <wp:effectExtent l="0" t="0" r="19050" b="19050"/>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902462" w14:textId="05627192" w:rsidR="00253E25" w:rsidRDefault="00284B14" w:rsidP="00284B14">
      <w:pPr>
        <w:spacing w:line="360" w:lineRule="auto"/>
        <w:jc w:val="both"/>
      </w:pPr>
      <w:r>
        <w:t xml:space="preserve"> </w:t>
      </w:r>
    </w:p>
    <w:sectPr w:rsidR="00253E25" w:rsidSect="00F76A43">
      <w:pgSz w:w="11906" w:h="16838"/>
      <w:pgMar w:top="993"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E99"/>
    <w:multiLevelType w:val="multilevel"/>
    <w:tmpl w:val="6A9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D45282"/>
    <w:multiLevelType w:val="multilevel"/>
    <w:tmpl w:val="117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D6"/>
    <w:rsid w:val="000008E4"/>
    <w:rsid w:val="00006EA3"/>
    <w:rsid w:val="0002564E"/>
    <w:rsid w:val="00037C63"/>
    <w:rsid w:val="000B4078"/>
    <w:rsid w:val="000C2BAE"/>
    <w:rsid w:val="0015558C"/>
    <w:rsid w:val="00155ADE"/>
    <w:rsid w:val="00183C6B"/>
    <w:rsid w:val="00184F20"/>
    <w:rsid w:val="00193304"/>
    <w:rsid w:val="001A4BAE"/>
    <w:rsid w:val="002229E6"/>
    <w:rsid w:val="00253E25"/>
    <w:rsid w:val="0025599A"/>
    <w:rsid w:val="002717DD"/>
    <w:rsid w:val="002724D6"/>
    <w:rsid w:val="00284B14"/>
    <w:rsid w:val="002D04E9"/>
    <w:rsid w:val="003069E6"/>
    <w:rsid w:val="00306FA3"/>
    <w:rsid w:val="00310481"/>
    <w:rsid w:val="003370B8"/>
    <w:rsid w:val="003655A4"/>
    <w:rsid w:val="003E0DE9"/>
    <w:rsid w:val="003F2527"/>
    <w:rsid w:val="00404AE1"/>
    <w:rsid w:val="004D7A48"/>
    <w:rsid w:val="004F70A9"/>
    <w:rsid w:val="00507FE6"/>
    <w:rsid w:val="005803F1"/>
    <w:rsid w:val="005A1E82"/>
    <w:rsid w:val="005A3629"/>
    <w:rsid w:val="005B7C11"/>
    <w:rsid w:val="006279CC"/>
    <w:rsid w:val="006D49D7"/>
    <w:rsid w:val="006F7B72"/>
    <w:rsid w:val="006F7C1F"/>
    <w:rsid w:val="00714643"/>
    <w:rsid w:val="0076303B"/>
    <w:rsid w:val="007633A1"/>
    <w:rsid w:val="00767155"/>
    <w:rsid w:val="0079449F"/>
    <w:rsid w:val="007F473D"/>
    <w:rsid w:val="007F635E"/>
    <w:rsid w:val="008734DF"/>
    <w:rsid w:val="008B3218"/>
    <w:rsid w:val="008C0BAF"/>
    <w:rsid w:val="008C65F1"/>
    <w:rsid w:val="008E223A"/>
    <w:rsid w:val="008F04E2"/>
    <w:rsid w:val="008F2D54"/>
    <w:rsid w:val="009148F7"/>
    <w:rsid w:val="00990E5C"/>
    <w:rsid w:val="009C1EB9"/>
    <w:rsid w:val="00A14937"/>
    <w:rsid w:val="00A2075F"/>
    <w:rsid w:val="00A37DB6"/>
    <w:rsid w:val="00AD51E6"/>
    <w:rsid w:val="00AF0E73"/>
    <w:rsid w:val="00B26D8B"/>
    <w:rsid w:val="00B30787"/>
    <w:rsid w:val="00B33F0D"/>
    <w:rsid w:val="00B6023A"/>
    <w:rsid w:val="00B62A3A"/>
    <w:rsid w:val="00B70022"/>
    <w:rsid w:val="00B7628D"/>
    <w:rsid w:val="00B80338"/>
    <w:rsid w:val="00BC6A52"/>
    <w:rsid w:val="00BF1D7B"/>
    <w:rsid w:val="00BF2C08"/>
    <w:rsid w:val="00BF41A8"/>
    <w:rsid w:val="00C57DE1"/>
    <w:rsid w:val="00C93AA0"/>
    <w:rsid w:val="00C94A54"/>
    <w:rsid w:val="00CA6CD9"/>
    <w:rsid w:val="00CD3885"/>
    <w:rsid w:val="00CE0E44"/>
    <w:rsid w:val="00D00ED7"/>
    <w:rsid w:val="00DB7F15"/>
    <w:rsid w:val="00E5562D"/>
    <w:rsid w:val="00E56F83"/>
    <w:rsid w:val="00E763AD"/>
    <w:rsid w:val="00EE71F6"/>
    <w:rsid w:val="00EE7303"/>
    <w:rsid w:val="00EF4892"/>
    <w:rsid w:val="00F76A43"/>
    <w:rsid w:val="00F80D99"/>
    <w:rsid w:val="00FB3D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724D6"/>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2724D6"/>
    <w:rPr>
      <w:color w:val="0000FF"/>
      <w:u w:val="single"/>
    </w:rPr>
  </w:style>
  <w:style w:type="paragraph" w:customStyle="1" w:styleId="rtejustify">
    <w:name w:val="rtejustify"/>
    <w:basedOn w:val="a"/>
    <w:rsid w:val="002724D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724D6"/>
    <w:rPr>
      <w:b/>
      <w:bCs/>
    </w:rPr>
  </w:style>
  <w:style w:type="character" w:styleId="a4">
    <w:name w:val="Emphasis"/>
    <w:basedOn w:val="a0"/>
    <w:uiPriority w:val="20"/>
    <w:qFormat/>
    <w:rsid w:val="00EE7303"/>
    <w:rPr>
      <w:i/>
      <w:iCs/>
    </w:rPr>
  </w:style>
  <w:style w:type="paragraph" w:customStyle="1" w:styleId="p2">
    <w:name w:val="p2"/>
    <w:basedOn w:val="a"/>
    <w:rsid w:val="00B80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02564E"/>
    <w:rPr>
      <w:color w:val="605E5C"/>
      <w:shd w:val="clear" w:color="auto" w:fill="E1DFDD"/>
    </w:rPr>
  </w:style>
  <w:style w:type="paragraph" w:styleId="a5">
    <w:name w:val="Balloon Text"/>
    <w:basedOn w:val="a"/>
    <w:link w:val="Char"/>
    <w:uiPriority w:val="99"/>
    <w:semiHidden/>
    <w:unhideWhenUsed/>
    <w:rsid w:val="00F76A43"/>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76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724D6"/>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2724D6"/>
    <w:rPr>
      <w:color w:val="0000FF"/>
      <w:u w:val="single"/>
    </w:rPr>
  </w:style>
  <w:style w:type="paragraph" w:customStyle="1" w:styleId="rtejustify">
    <w:name w:val="rtejustify"/>
    <w:basedOn w:val="a"/>
    <w:rsid w:val="002724D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724D6"/>
    <w:rPr>
      <w:b/>
      <w:bCs/>
    </w:rPr>
  </w:style>
  <w:style w:type="character" w:styleId="a4">
    <w:name w:val="Emphasis"/>
    <w:basedOn w:val="a0"/>
    <w:uiPriority w:val="20"/>
    <w:qFormat/>
    <w:rsid w:val="00EE7303"/>
    <w:rPr>
      <w:i/>
      <w:iCs/>
    </w:rPr>
  </w:style>
  <w:style w:type="paragraph" w:customStyle="1" w:styleId="p2">
    <w:name w:val="p2"/>
    <w:basedOn w:val="a"/>
    <w:rsid w:val="00B80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02564E"/>
    <w:rPr>
      <w:color w:val="605E5C"/>
      <w:shd w:val="clear" w:color="auto" w:fill="E1DFDD"/>
    </w:rPr>
  </w:style>
  <w:style w:type="paragraph" w:styleId="a5">
    <w:name w:val="Balloon Text"/>
    <w:basedOn w:val="a"/>
    <w:link w:val="Char"/>
    <w:uiPriority w:val="99"/>
    <w:semiHidden/>
    <w:unhideWhenUsed/>
    <w:rsid w:val="00F76A43"/>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76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08670">
      <w:bodyDiv w:val="1"/>
      <w:marLeft w:val="0"/>
      <w:marRight w:val="0"/>
      <w:marTop w:val="0"/>
      <w:marBottom w:val="0"/>
      <w:divBdr>
        <w:top w:val="none" w:sz="0" w:space="0" w:color="auto"/>
        <w:left w:val="none" w:sz="0" w:space="0" w:color="auto"/>
        <w:bottom w:val="none" w:sz="0" w:space="0" w:color="auto"/>
        <w:right w:val="none" w:sz="0" w:space="0" w:color="auto"/>
      </w:divBdr>
    </w:div>
    <w:div w:id="576524690">
      <w:bodyDiv w:val="1"/>
      <w:marLeft w:val="0"/>
      <w:marRight w:val="0"/>
      <w:marTop w:val="0"/>
      <w:marBottom w:val="0"/>
      <w:divBdr>
        <w:top w:val="none" w:sz="0" w:space="0" w:color="auto"/>
        <w:left w:val="none" w:sz="0" w:space="0" w:color="auto"/>
        <w:bottom w:val="none" w:sz="0" w:space="0" w:color="auto"/>
        <w:right w:val="none" w:sz="0" w:space="0" w:color="auto"/>
      </w:divBdr>
    </w:div>
    <w:div w:id="869610360">
      <w:bodyDiv w:val="1"/>
      <w:marLeft w:val="0"/>
      <w:marRight w:val="0"/>
      <w:marTop w:val="0"/>
      <w:marBottom w:val="0"/>
      <w:divBdr>
        <w:top w:val="none" w:sz="0" w:space="0" w:color="auto"/>
        <w:left w:val="none" w:sz="0" w:space="0" w:color="auto"/>
        <w:bottom w:val="none" w:sz="0" w:space="0" w:color="auto"/>
        <w:right w:val="none" w:sz="0" w:space="0" w:color="auto"/>
      </w:divBdr>
    </w:div>
    <w:div w:id="1685936423">
      <w:bodyDiv w:val="1"/>
      <w:marLeft w:val="0"/>
      <w:marRight w:val="0"/>
      <w:marTop w:val="0"/>
      <w:marBottom w:val="0"/>
      <w:divBdr>
        <w:top w:val="none" w:sz="0" w:space="0" w:color="auto"/>
        <w:left w:val="none" w:sz="0" w:space="0" w:color="auto"/>
        <w:bottom w:val="none" w:sz="0" w:space="0" w:color="auto"/>
        <w:right w:val="none" w:sz="0" w:space="0" w:color="auto"/>
      </w:divBdr>
    </w:div>
    <w:div w:id="1860702954">
      <w:bodyDiv w:val="1"/>
      <w:marLeft w:val="0"/>
      <w:marRight w:val="0"/>
      <w:marTop w:val="0"/>
      <w:marBottom w:val="0"/>
      <w:divBdr>
        <w:top w:val="none" w:sz="0" w:space="0" w:color="auto"/>
        <w:left w:val="none" w:sz="0" w:space="0" w:color="auto"/>
        <w:bottom w:val="none" w:sz="0" w:space="0" w:color="auto"/>
        <w:right w:val="none" w:sz="0" w:space="0" w:color="auto"/>
      </w:divBdr>
      <w:divsChild>
        <w:div w:id="1494445737">
          <w:marLeft w:val="0"/>
          <w:marRight w:val="0"/>
          <w:marTop w:val="0"/>
          <w:marBottom w:val="0"/>
          <w:divBdr>
            <w:top w:val="none" w:sz="0" w:space="0" w:color="auto"/>
            <w:left w:val="none" w:sz="0" w:space="0" w:color="auto"/>
            <w:bottom w:val="none" w:sz="0" w:space="0" w:color="auto"/>
            <w:right w:val="none" w:sz="0" w:space="0" w:color="auto"/>
          </w:divBdr>
          <w:divsChild>
            <w:div w:id="2072994582">
              <w:marLeft w:val="0"/>
              <w:marRight w:val="0"/>
              <w:marTop w:val="0"/>
              <w:marBottom w:val="0"/>
              <w:divBdr>
                <w:top w:val="none" w:sz="0" w:space="0" w:color="auto"/>
                <w:left w:val="none" w:sz="0" w:space="0" w:color="auto"/>
                <w:bottom w:val="none" w:sz="0" w:space="0" w:color="auto"/>
                <w:right w:val="none" w:sz="0" w:space="0" w:color="auto"/>
              </w:divBdr>
            </w:div>
          </w:divsChild>
        </w:div>
        <w:div w:id="1645426484">
          <w:marLeft w:val="0"/>
          <w:marRight w:val="0"/>
          <w:marTop w:val="0"/>
          <w:marBottom w:val="0"/>
          <w:divBdr>
            <w:top w:val="none" w:sz="0" w:space="0" w:color="auto"/>
            <w:left w:val="none" w:sz="0" w:space="0" w:color="auto"/>
            <w:bottom w:val="none" w:sz="0" w:space="0" w:color="auto"/>
            <w:right w:val="none" w:sz="0" w:space="0" w:color="auto"/>
          </w:divBdr>
          <w:divsChild>
            <w:div w:id="1931235199">
              <w:marLeft w:val="0"/>
              <w:marRight w:val="0"/>
              <w:marTop w:val="0"/>
              <w:marBottom w:val="0"/>
              <w:divBdr>
                <w:top w:val="none" w:sz="0" w:space="0" w:color="auto"/>
                <w:left w:val="none" w:sz="0" w:space="0" w:color="auto"/>
                <w:bottom w:val="none" w:sz="0" w:space="0" w:color="auto"/>
                <w:right w:val="none" w:sz="0" w:space="0" w:color="auto"/>
              </w:divBdr>
            </w:div>
          </w:divsChild>
        </w:div>
        <w:div w:id="1842505979">
          <w:marLeft w:val="0"/>
          <w:marRight w:val="0"/>
          <w:marTop w:val="0"/>
          <w:marBottom w:val="0"/>
          <w:divBdr>
            <w:top w:val="none" w:sz="0" w:space="0" w:color="auto"/>
            <w:left w:val="none" w:sz="0" w:space="0" w:color="auto"/>
            <w:bottom w:val="none" w:sz="0" w:space="0" w:color="auto"/>
            <w:right w:val="none" w:sz="0" w:space="0" w:color="auto"/>
          </w:divBdr>
          <w:divsChild>
            <w:div w:id="1821531312">
              <w:marLeft w:val="0"/>
              <w:marRight w:val="0"/>
              <w:marTop w:val="0"/>
              <w:marBottom w:val="0"/>
              <w:divBdr>
                <w:top w:val="none" w:sz="0" w:space="0" w:color="auto"/>
                <w:left w:val="none" w:sz="0" w:space="0" w:color="auto"/>
                <w:bottom w:val="none" w:sz="0" w:space="0" w:color="auto"/>
                <w:right w:val="none" w:sz="0" w:space="0" w:color="auto"/>
              </w:divBdr>
            </w:div>
          </w:divsChild>
        </w:div>
        <w:div w:id="396787419">
          <w:marLeft w:val="0"/>
          <w:marRight w:val="0"/>
          <w:marTop w:val="0"/>
          <w:marBottom w:val="0"/>
          <w:divBdr>
            <w:top w:val="none" w:sz="0" w:space="0" w:color="auto"/>
            <w:left w:val="none" w:sz="0" w:space="0" w:color="auto"/>
            <w:bottom w:val="none" w:sz="0" w:space="0" w:color="auto"/>
            <w:right w:val="none" w:sz="0" w:space="0" w:color="auto"/>
          </w:divBdr>
          <w:divsChild>
            <w:div w:id="105928427">
              <w:marLeft w:val="0"/>
              <w:marRight w:val="0"/>
              <w:marTop w:val="0"/>
              <w:marBottom w:val="0"/>
              <w:divBdr>
                <w:top w:val="none" w:sz="0" w:space="0" w:color="auto"/>
                <w:left w:val="none" w:sz="0" w:space="0" w:color="auto"/>
                <w:bottom w:val="none" w:sz="0" w:space="0" w:color="auto"/>
                <w:right w:val="none" w:sz="0" w:space="0" w:color="auto"/>
              </w:divBdr>
              <w:divsChild>
                <w:div w:id="1750618324">
                  <w:marLeft w:val="0"/>
                  <w:marRight w:val="0"/>
                  <w:marTop w:val="0"/>
                  <w:marBottom w:val="0"/>
                  <w:divBdr>
                    <w:top w:val="none" w:sz="0" w:space="0" w:color="auto"/>
                    <w:left w:val="none" w:sz="0" w:space="0" w:color="auto"/>
                    <w:bottom w:val="none" w:sz="0" w:space="0" w:color="auto"/>
                    <w:right w:val="none" w:sz="0" w:space="0" w:color="auto"/>
                  </w:divBdr>
                  <w:divsChild>
                    <w:div w:id="5327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7049">
          <w:marLeft w:val="0"/>
          <w:marRight w:val="0"/>
          <w:marTop w:val="0"/>
          <w:marBottom w:val="0"/>
          <w:divBdr>
            <w:top w:val="none" w:sz="0" w:space="0" w:color="auto"/>
            <w:left w:val="none" w:sz="0" w:space="0" w:color="auto"/>
            <w:bottom w:val="none" w:sz="0" w:space="0" w:color="auto"/>
            <w:right w:val="none" w:sz="0" w:space="0" w:color="auto"/>
          </w:divBdr>
          <w:divsChild>
            <w:div w:id="1057819392">
              <w:marLeft w:val="0"/>
              <w:marRight w:val="0"/>
              <w:marTop w:val="0"/>
              <w:marBottom w:val="0"/>
              <w:divBdr>
                <w:top w:val="none" w:sz="0" w:space="0" w:color="auto"/>
                <w:left w:val="none" w:sz="0" w:space="0" w:color="auto"/>
                <w:bottom w:val="none" w:sz="0" w:space="0" w:color="auto"/>
                <w:right w:val="none" w:sz="0" w:space="0" w:color="auto"/>
              </w:divBdr>
            </w:div>
          </w:divsChild>
        </w:div>
        <w:div w:id="1683507488">
          <w:marLeft w:val="0"/>
          <w:marRight w:val="0"/>
          <w:marTop w:val="0"/>
          <w:marBottom w:val="0"/>
          <w:divBdr>
            <w:top w:val="none" w:sz="0" w:space="0" w:color="auto"/>
            <w:left w:val="none" w:sz="0" w:space="0" w:color="auto"/>
            <w:bottom w:val="none" w:sz="0" w:space="0" w:color="auto"/>
            <w:right w:val="none" w:sz="0" w:space="0" w:color="auto"/>
          </w:divBdr>
        </w:div>
        <w:div w:id="92093580">
          <w:marLeft w:val="0"/>
          <w:marRight w:val="0"/>
          <w:marTop w:val="0"/>
          <w:marBottom w:val="0"/>
          <w:divBdr>
            <w:top w:val="none" w:sz="0" w:space="0" w:color="auto"/>
            <w:left w:val="none" w:sz="0" w:space="0" w:color="auto"/>
            <w:bottom w:val="none" w:sz="0" w:space="0" w:color="auto"/>
            <w:right w:val="none" w:sz="0" w:space="0" w:color="auto"/>
          </w:divBdr>
          <w:divsChild>
            <w:div w:id="1753552012">
              <w:marLeft w:val="0"/>
              <w:marRight w:val="0"/>
              <w:marTop w:val="0"/>
              <w:marBottom w:val="0"/>
              <w:divBdr>
                <w:top w:val="none" w:sz="0" w:space="0" w:color="auto"/>
                <w:left w:val="none" w:sz="0" w:space="0" w:color="auto"/>
                <w:bottom w:val="none" w:sz="0" w:space="0" w:color="auto"/>
                <w:right w:val="none" w:sz="0" w:space="0" w:color="auto"/>
              </w:divBdr>
            </w:div>
            <w:div w:id="1678581425">
              <w:marLeft w:val="0"/>
              <w:marRight w:val="0"/>
              <w:marTop w:val="0"/>
              <w:marBottom w:val="0"/>
              <w:divBdr>
                <w:top w:val="none" w:sz="0" w:space="0" w:color="auto"/>
                <w:left w:val="none" w:sz="0" w:space="0" w:color="auto"/>
                <w:bottom w:val="none" w:sz="0" w:space="0" w:color="auto"/>
                <w:right w:val="none" w:sz="0" w:space="0" w:color="auto"/>
              </w:divBdr>
              <w:divsChild>
                <w:div w:id="10705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srvfs01\FileServer\&#915;.&#916;%20&#931;&#960;&#959;&#965;&#948;.%20&#928;&#961;&#969;&#964;.%20&#954;.%20&#916;&#949;&#965;&#964;.%20&#917;&#954;&#960;&#945;&#943;&#948;&#949;&#965;&#963;&#951;&#962;\&#916;&#957;&#963;&#951;%20&#917;&#960;&#945;&#947;&#947;.%20&#917;&#954;&#960;&#945;&#943;&#948;&#949;&#965;&#963;&#951;&#962;\&#932;&#956;&#942;&#956;&#945;%20&#915;\&#934;11_&#928;&#921;&#931;&#932;&#927;&#928;&#927;&#921;&#919;&#931;&#919;\35&#937;&#929;&#927;%20&#928;&#928;&#928;%20&#915;'%20&#934;&#913;&#931;&#919;\&#917;&#926;\&#928;&#928;&#928;%20&#922;&#945;&#964;&#945;&#947;&#961;&#945;&#966;&#942;%20&#924;&#945;&#952;&#951;&#964;&#949;&#965;&#959;&#956;&#941;&#957;&#969;&#957;%202020&#9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pivotSource>
    <c:name>[ΠΠΠ Καταγραφή Μαθητευομένων 2020Α.xlsx]Φύλλο3!Συγκεντρωτικός Πίνακας3</c:name>
    <c:fmtId val="-1"/>
  </c:pivotSource>
  <c:chart>
    <c:title>
      <c:tx>
        <c:rich>
          <a:bodyPr/>
          <a:lstStyle/>
          <a:p>
            <a:pPr>
              <a:defRPr sz="900"/>
            </a:pPr>
            <a:r>
              <a:rPr lang="el-GR" sz="900"/>
              <a:t>Συμμετοχή</a:t>
            </a:r>
            <a:r>
              <a:rPr lang="el-GR" sz="900" baseline="0"/>
              <a:t> αποφοίτων/ειδικότητα σε ΠΠΠ 1ης περιόδου 2020</a:t>
            </a:r>
            <a:endParaRPr lang="el-GR" sz="900"/>
          </a:p>
        </c:rich>
      </c:tx>
      <c:overlay val="0"/>
    </c:title>
    <c:autoTitleDeleted val="0"/>
    <c:pivotFmts>
      <c:pivotFmt>
        <c:idx val="0"/>
        <c:marker>
          <c:symbol val="none"/>
        </c:marker>
        <c:dLbl>
          <c:idx val="0"/>
          <c:spPr/>
          <c:txPr>
            <a:bodyPr/>
            <a:lstStyle/>
            <a:p>
              <a:pPr>
                <a:defRPr sz="900" b="1">
                  <a:solidFill>
                    <a:schemeClr val="tx1"/>
                  </a:solidFill>
                </a:defRPr>
              </a:pPr>
              <a:endParaRPr lang="el-GR"/>
            </a:p>
          </c:txPr>
          <c:showLegendKey val="0"/>
          <c:showVal val="0"/>
          <c:showCatName val="0"/>
          <c:showSerName val="0"/>
          <c:showPercent val="1"/>
          <c:showBubbleSize val="0"/>
        </c:dLbl>
      </c:pivotFmt>
      <c:pivotFmt>
        <c:idx val="1"/>
        <c:marker>
          <c:symbol val="none"/>
        </c:marker>
        <c:dLbl>
          <c:idx val="0"/>
          <c:spPr/>
          <c:txPr>
            <a:bodyPr/>
            <a:lstStyle/>
            <a:p>
              <a:pPr>
                <a:defRPr sz="900" b="1">
                  <a:solidFill>
                    <a:schemeClr val="tx1"/>
                  </a:solidFill>
                </a:defRPr>
              </a:pPr>
              <a:endParaRPr lang="el-GR"/>
            </a:p>
          </c:txPr>
          <c:showLegendKey val="0"/>
          <c:showVal val="0"/>
          <c:showCatName val="0"/>
          <c:showSerName val="0"/>
          <c:showPercent val="1"/>
          <c:showBubbleSize val="0"/>
        </c:dLbl>
      </c:pivotFmt>
      <c:pivotFmt>
        <c:idx val="2"/>
        <c:marker>
          <c:symbol val="none"/>
        </c:marker>
        <c:dLbl>
          <c:idx val="0"/>
          <c:spPr/>
          <c:txPr>
            <a:bodyPr/>
            <a:lstStyle/>
            <a:p>
              <a:pPr>
                <a:defRPr sz="900" b="1">
                  <a:solidFill>
                    <a:schemeClr val="tx1"/>
                  </a:solidFill>
                </a:defRPr>
              </a:pPr>
              <a:endParaRPr lang="el-GR"/>
            </a:p>
          </c:txPr>
          <c:showLegendKey val="0"/>
          <c:showVal val="0"/>
          <c:showCatName val="0"/>
          <c:showSerName val="0"/>
          <c:showPercent val="1"/>
          <c:showBubbleSize val="0"/>
        </c:dLbl>
      </c:pivotFmt>
    </c:pivotFmts>
    <c:view3D>
      <c:rotX val="30"/>
      <c:rotY val="0"/>
      <c:rAngAx val="0"/>
      <c:perspective val="30"/>
    </c:view3D>
    <c:floor>
      <c:thickness val="0"/>
    </c:floor>
    <c:sideWall>
      <c:thickness val="0"/>
    </c:sideWall>
    <c:backWall>
      <c:thickness val="0"/>
    </c:backWall>
    <c:plotArea>
      <c:layout/>
      <c:pie3DChart>
        <c:varyColors val="1"/>
        <c:ser>
          <c:idx val="0"/>
          <c:order val="0"/>
          <c:tx>
            <c:strRef>
              <c:f>Φύλλο3!$B$3</c:f>
              <c:strCache>
                <c:ptCount val="1"/>
                <c:pt idx="0">
                  <c:v>Άθροισμα</c:v>
                </c:pt>
              </c:strCache>
            </c:strRef>
          </c:tx>
          <c:dLbls>
            <c:txPr>
              <a:bodyPr/>
              <a:lstStyle/>
              <a:p>
                <a:pPr>
                  <a:defRPr sz="1000" b="1">
                    <a:solidFill>
                      <a:schemeClr val="tx1"/>
                    </a:solidFill>
                  </a:defRPr>
                </a:pPr>
                <a:endParaRPr lang="el-GR"/>
              </a:p>
            </c:txPr>
            <c:showLegendKey val="0"/>
            <c:showVal val="0"/>
            <c:showCatName val="0"/>
            <c:showSerName val="0"/>
            <c:showPercent val="1"/>
            <c:showBubbleSize val="0"/>
            <c:showLeaderLines val="1"/>
          </c:dLbls>
          <c:cat>
            <c:strRef>
              <c:f>Φύλλο3!$A$4:$A$17</c:f>
              <c:strCache>
                <c:ptCount val="13"/>
                <c:pt idx="0">
                  <c:v>ΑΙΣΘΗΤΙΚΗΣ ΤΕΧΝΗΣ</c:v>
                </c:pt>
                <c:pt idx="1">
                  <c:v>ΒΟΗΘΟΣ ΙΑΤΡΙΚΩΝ - ΒΙΟΛΟΓΙΚΩΝ ΕΡΓΑΣΤΗΡΙΩΝ</c:v>
                </c:pt>
                <c:pt idx="2">
                  <c:v>ΒΟΗΘΟΣ ΙΑΤΡΙΚΩΝ-ΒΙΟΛΟΓΙΚΩΝ ΕΡΓΑΣΤΗΡΙΩΝ</c:v>
                </c:pt>
                <c:pt idx="3">
                  <c:v>ΒΟΗΘΟΣ ΝΟΣΗΛΕΥΤΗ</c:v>
                </c:pt>
                <c:pt idx="4">
                  <c:v>ΒΟΗΘΟΣ ΦΥΣΙΚΟΘΕΡΑΠΕΥΤΗ</c:v>
                </c:pt>
                <c:pt idx="5">
                  <c:v>ΓΡΑΦΙΚΩΝ ΤΕΧΝΩΝ </c:v>
                </c:pt>
                <c:pt idx="6">
                  <c:v>ΤΕΧΝΙΚΟΣ ΔΟΜΙΚΩΝ ΕΡΓΩΝ ΚΑΙ ΓΕΩΠΛΗΡΟΦΟΡΙΚΗΣ</c:v>
                </c:pt>
                <c:pt idx="7">
                  <c:v>ΤΕΧΝΙΚΟΣ ΕΦΑΡΜΟΓΩΝ ΠΛΗΡΟΦΟΡΙΚΗΣ</c:v>
                </c:pt>
                <c:pt idx="8">
                  <c:v>ΤΕΧΝΙΚΟΣ ΟΧΗΜΑΤΩΝ</c:v>
                </c:pt>
                <c:pt idx="9">
                  <c:v>ΤΕΧΝΙΚΟΣ ΟΧΗΜΑΤΩΝ </c:v>
                </c:pt>
                <c:pt idx="10">
                  <c:v>ΤΕΧΝΙΚΟΣ ΦΥΤΙΚΗΣ ΠΑΡΑΓΩΓΗΣ</c:v>
                </c:pt>
                <c:pt idx="11">
                  <c:v>ΥΠΑΛΛΗΛΟΣ ΤΟΥΡΙΣΤΙΚΩΝ ΕΠΙΧΕΙΡΗΣΕΩΝ</c:v>
                </c:pt>
                <c:pt idx="12">
                  <c:v>ΥΠΑΛΛΗΛΟΣ ΤΟΥΡΙΣΤΙΚΩΝ ΕΠΙΧΕΙΡΗΣΕΩΝ </c:v>
                </c:pt>
              </c:strCache>
            </c:strRef>
          </c:cat>
          <c:val>
            <c:numRef>
              <c:f>Φύλλο3!$B$4:$B$17</c:f>
              <c:numCache>
                <c:formatCode>General</c:formatCode>
                <c:ptCount val="13"/>
                <c:pt idx="0">
                  <c:v>54</c:v>
                </c:pt>
                <c:pt idx="1">
                  <c:v>56</c:v>
                </c:pt>
                <c:pt idx="2">
                  <c:v>1</c:v>
                </c:pt>
                <c:pt idx="3">
                  <c:v>356</c:v>
                </c:pt>
                <c:pt idx="4">
                  <c:v>34</c:v>
                </c:pt>
                <c:pt idx="5">
                  <c:v>3</c:v>
                </c:pt>
                <c:pt idx="6">
                  <c:v>19</c:v>
                </c:pt>
                <c:pt idx="7">
                  <c:v>110</c:v>
                </c:pt>
                <c:pt idx="8">
                  <c:v>470</c:v>
                </c:pt>
                <c:pt idx="9">
                  <c:v>11</c:v>
                </c:pt>
                <c:pt idx="10">
                  <c:v>79</c:v>
                </c:pt>
                <c:pt idx="11">
                  <c:v>14</c:v>
                </c:pt>
                <c:pt idx="12">
                  <c:v>2</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600" b="1"/>
          </a:pPr>
          <a:endParaRPr lang="el-GR"/>
        </a:p>
      </c:txPr>
    </c:legend>
    <c:plotVisOnly val="1"/>
    <c:dispBlanksAs val="gap"/>
    <c:showDLblsOverMax val="0"/>
  </c:chart>
  <c:txPr>
    <a:bodyPr/>
    <a:lstStyle/>
    <a:p>
      <a:pPr>
        <a:defRPr sz="500"/>
      </a:pPr>
      <a:endParaRPr lang="el-GR"/>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6DF2C-7B61-482F-8496-E41D551A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1195</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YPEPTH</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ipapasarantopoulou</dc:creator>
  <cp:lastModifiedBy>Κωνσταντίνα Πισλή</cp:lastModifiedBy>
  <cp:revision>4</cp:revision>
  <cp:lastPrinted>2020-01-13T10:15:00Z</cp:lastPrinted>
  <dcterms:created xsi:type="dcterms:W3CDTF">2020-07-02T09:55:00Z</dcterms:created>
  <dcterms:modified xsi:type="dcterms:W3CDTF">2020-07-06T07:21:00Z</dcterms:modified>
</cp:coreProperties>
</file>