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714749">
        <w:rPr>
          <w:rFonts w:ascii="Katsoulidis" w:hAnsi="Katsoulidis"/>
        </w:rPr>
        <w:t>226/31-1-2023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 w:rsidP="003751EE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C70286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C70286">
        <w:rPr>
          <w:rFonts w:ascii="Katsoulidis" w:hAnsi="Katsoulidis"/>
          <w:b/>
          <w:bCs/>
          <w:u w:val="single"/>
        </w:rPr>
        <w:t>Οδοντιατρικής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C70286">
        <w:rPr>
          <w:rFonts w:ascii="Katsoulidis" w:hAnsi="Katsoulidis"/>
          <w:b/>
          <w:bCs/>
          <w:u w:val="single"/>
        </w:rPr>
        <w:t xml:space="preserve">Θηβών 2, Τ.Κ. 115 27 </w:t>
      </w:r>
      <w:proofErr w:type="spellStart"/>
      <w:r w:rsidR="00C70286">
        <w:rPr>
          <w:rFonts w:ascii="Katsoulidis" w:hAnsi="Katsoulidis"/>
          <w:b/>
          <w:bCs/>
          <w:u w:val="single"/>
        </w:rPr>
        <w:t>Γουδή</w:t>
      </w:r>
      <w:proofErr w:type="spellEnd"/>
      <w:r w:rsidR="00C70286">
        <w:rPr>
          <w:rFonts w:ascii="Katsoulidis" w:hAnsi="Katsoulidis"/>
          <w:b/>
          <w:bCs/>
          <w:u w:val="single"/>
        </w:rPr>
        <w:t>,  (</w:t>
      </w:r>
      <w:proofErr w:type="spellStart"/>
      <w:r w:rsidR="00C70286">
        <w:rPr>
          <w:rFonts w:ascii="Katsoulidis" w:hAnsi="Katsoulidis"/>
          <w:b/>
          <w:bCs/>
          <w:u w:val="single"/>
        </w:rPr>
        <w:t>τηλ</w:t>
      </w:r>
      <w:proofErr w:type="spellEnd"/>
      <w:r w:rsidR="00C70286">
        <w:rPr>
          <w:rFonts w:ascii="Katsoulidis" w:hAnsi="Katsoulidis"/>
          <w:b/>
          <w:bCs/>
          <w:u w:val="single"/>
        </w:rPr>
        <w:t>. 210 7461117)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C70286">
        <w:rPr>
          <w:rFonts w:ascii="Katsoulidis" w:hAnsi="Katsoulidis"/>
          <w:sz w:val="22"/>
          <w:u w:val="single"/>
        </w:rPr>
        <w:t>Οδοντικής Παθολογίας και Θεραπευτικής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C70286">
        <w:rPr>
          <w:rFonts w:ascii="Katsoulidis" w:hAnsi="Katsoulidis"/>
          <w:b/>
          <w:bCs/>
        </w:rPr>
        <w:t>136725/15-12-2022</w:t>
      </w:r>
      <w:r>
        <w:rPr>
          <w:rFonts w:ascii="Katsoulidis" w:hAnsi="Katsoulidis"/>
          <w:b/>
          <w:bCs/>
        </w:rPr>
        <w:t xml:space="preserve"> (ΑΔΑ: </w:t>
      </w:r>
      <w:r w:rsidR="00C70286">
        <w:rPr>
          <w:rFonts w:ascii="Katsoulidis" w:hAnsi="Katsoulidis"/>
          <w:b/>
          <w:bCs/>
        </w:rPr>
        <w:t>ΩΑΠ1</w:t>
      </w:r>
      <w:r>
        <w:rPr>
          <w:rFonts w:ascii="Katsoulidis" w:hAnsi="Katsoulidis"/>
          <w:b/>
          <w:bCs/>
        </w:rPr>
        <w:t>46ΨΖ2Ν-</w:t>
      </w:r>
      <w:r w:rsidR="00C70286">
        <w:rPr>
          <w:rFonts w:ascii="Katsoulidis" w:hAnsi="Katsoulidis"/>
          <w:b/>
          <w:bCs/>
        </w:rPr>
        <w:t>79Θ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Α</w:t>
      </w:r>
      <w:r>
        <w:rPr>
          <w:rFonts w:ascii="Katsoulidis" w:hAnsi="Katsoulidis"/>
          <w:b/>
          <w:bCs/>
          <w:sz w:val="22"/>
        </w:rPr>
        <w:t xml:space="preserve">ναπληρωτή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proofErr w:type="spellStart"/>
      <w:r>
        <w:rPr>
          <w:rFonts w:ascii="Katsoulidis" w:hAnsi="Katsoulidis"/>
          <w:b/>
          <w:sz w:val="22"/>
        </w:rPr>
        <w:t>Περιοδοντολογία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24587D">
        <w:rPr>
          <w:rFonts w:ascii="Katsoulidis" w:hAnsi="Katsoulidis"/>
        </w:rPr>
        <w:t>14/4/2023.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24587D">
        <w:rPr>
          <w:rFonts w:ascii="Katsoulidis" w:hAnsi="Katsoulidis"/>
          <w:sz w:val="22"/>
        </w:rPr>
        <w:t>13/2/2023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1118C9"/>
    <w:rsid w:val="00144BD7"/>
    <w:rsid w:val="0024587D"/>
    <w:rsid w:val="00295D7D"/>
    <w:rsid w:val="002E17DA"/>
    <w:rsid w:val="003751EE"/>
    <w:rsid w:val="00714749"/>
    <w:rsid w:val="008271A9"/>
    <w:rsid w:val="0094026A"/>
    <w:rsid w:val="00A00E72"/>
    <w:rsid w:val="00A0490F"/>
    <w:rsid w:val="00C70286"/>
    <w:rsid w:val="00F41A77"/>
    <w:rsid w:val="00F928F8"/>
    <w:rsid w:val="00F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1405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2023-02-08T10:34:00Z</cp:lastPrinted>
  <dcterms:created xsi:type="dcterms:W3CDTF">2023-02-08T10:17:00Z</dcterms:created>
  <dcterms:modified xsi:type="dcterms:W3CDTF">2023-02-13T11:12:00Z</dcterms:modified>
</cp:coreProperties>
</file>